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F158" w14:textId="307FA9DC" w:rsidR="00A31697" w:rsidRPr="00D70BAF" w:rsidRDefault="00A31697" w:rsidP="00F7624D">
      <w:pPr>
        <w:jc w:val="center"/>
        <w:rPr>
          <w:b/>
          <w:bCs/>
          <w:sz w:val="28"/>
          <w:szCs w:val="28"/>
        </w:rPr>
      </w:pPr>
      <w:r w:rsidRPr="00D70BAF">
        <w:rPr>
          <w:b/>
          <w:bCs/>
          <w:sz w:val="28"/>
          <w:szCs w:val="28"/>
        </w:rPr>
        <w:t>2019 Review &amp; Rank Criteria and Process</w:t>
      </w:r>
    </w:p>
    <w:p w14:paraId="6723CDBC" w14:textId="1C92E302" w:rsidR="00A31697" w:rsidRDefault="00A31697" w:rsidP="001902FA">
      <w:pPr>
        <w:rPr>
          <w:sz w:val="24"/>
          <w:szCs w:val="24"/>
        </w:rPr>
      </w:pPr>
      <w:r>
        <w:rPr>
          <w:sz w:val="24"/>
          <w:szCs w:val="24"/>
        </w:rPr>
        <w:t xml:space="preserve">The Review &amp; Rank subcommittee is charged with the work of selecting the new projects to submit proposals in the 2019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Competition as well as prioritizing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projects for funding.  </w:t>
      </w:r>
      <w:r w:rsidR="003038BD">
        <w:rPr>
          <w:sz w:val="24"/>
          <w:szCs w:val="24"/>
        </w:rPr>
        <w:t>This</w:t>
      </w:r>
      <w:r>
        <w:rPr>
          <w:sz w:val="24"/>
          <w:szCs w:val="24"/>
        </w:rPr>
        <w:t xml:space="preserve"> subcommittee is made up of broad representation of our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partners including: child welfare, behavioral health, job training, and </w:t>
      </w:r>
      <w:r w:rsidR="00F963EA">
        <w:rPr>
          <w:sz w:val="24"/>
          <w:szCs w:val="24"/>
        </w:rPr>
        <w:t xml:space="preserve">the </w:t>
      </w:r>
      <w:proofErr w:type="spellStart"/>
      <w:r w:rsidR="00F963EA">
        <w:rPr>
          <w:sz w:val="24"/>
          <w:szCs w:val="24"/>
        </w:rPr>
        <w:t>CoC</w:t>
      </w:r>
      <w:proofErr w:type="spellEnd"/>
      <w:r w:rsidR="00F963EA">
        <w:rPr>
          <w:sz w:val="24"/>
          <w:szCs w:val="24"/>
        </w:rPr>
        <w:t xml:space="preserve"> Coordinator.  The members are regular attendees at our monthly </w:t>
      </w:r>
      <w:proofErr w:type="spellStart"/>
      <w:r w:rsidR="00F963EA">
        <w:rPr>
          <w:sz w:val="24"/>
          <w:szCs w:val="24"/>
        </w:rPr>
        <w:t>CoC</w:t>
      </w:r>
      <w:proofErr w:type="spellEnd"/>
      <w:r w:rsidR="00F963EA">
        <w:rPr>
          <w:sz w:val="24"/>
          <w:szCs w:val="24"/>
        </w:rPr>
        <w:t xml:space="preserve"> partner meeting</w:t>
      </w:r>
      <w:r w:rsidR="000A1119">
        <w:rPr>
          <w:sz w:val="24"/>
          <w:szCs w:val="24"/>
        </w:rPr>
        <w:t>s</w:t>
      </w:r>
      <w:r w:rsidR="00F963EA">
        <w:rPr>
          <w:sz w:val="24"/>
          <w:szCs w:val="24"/>
        </w:rPr>
        <w:t xml:space="preserve"> and therefore are familiar with the programs, needs, and gaps in our service offerings. </w:t>
      </w:r>
      <w:r w:rsidR="003038BD">
        <w:rPr>
          <w:sz w:val="24"/>
          <w:szCs w:val="24"/>
        </w:rPr>
        <w:t xml:space="preserve"> Additionally, they each</w:t>
      </w:r>
      <w:r w:rsidR="00F963EA">
        <w:rPr>
          <w:sz w:val="24"/>
          <w:szCs w:val="24"/>
        </w:rPr>
        <w:t xml:space="preserve"> have program management experience which gives them valuable knowledge for assessing the viability of new programs.  </w:t>
      </w:r>
    </w:p>
    <w:p w14:paraId="0C35E160" w14:textId="00A0F8EE" w:rsidR="003038BD" w:rsidRDefault="003038BD" w:rsidP="001902FA">
      <w:pPr>
        <w:rPr>
          <w:sz w:val="24"/>
          <w:szCs w:val="24"/>
        </w:rPr>
      </w:pPr>
      <w:r>
        <w:rPr>
          <w:sz w:val="24"/>
          <w:szCs w:val="24"/>
        </w:rPr>
        <w:t>Objective, standardized tools are used to score the programs. The same tool was used to evaluate the PSH and TH renewals.  Different tools were used to evaluate HMIS</w:t>
      </w:r>
      <w:r w:rsidR="000A1119">
        <w:rPr>
          <w:sz w:val="24"/>
          <w:szCs w:val="24"/>
        </w:rPr>
        <w:t xml:space="preserve">, </w:t>
      </w:r>
      <w:r>
        <w:rPr>
          <w:sz w:val="24"/>
          <w:szCs w:val="24"/>
        </w:rPr>
        <w:t>Coordinated Entry</w:t>
      </w:r>
      <w:r w:rsidR="000A1119">
        <w:rPr>
          <w:sz w:val="24"/>
          <w:szCs w:val="24"/>
        </w:rPr>
        <w:t xml:space="preserve"> (both </w:t>
      </w:r>
      <w:proofErr w:type="spellStart"/>
      <w:r w:rsidR="000A1119">
        <w:rPr>
          <w:sz w:val="24"/>
          <w:szCs w:val="24"/>
        </w:rPr>
        <w:t>CoC</w:t>
      </w:r>
      <w:proofErr w:type="spellEnd"/>
      <w:r w:rsidR="000A1119">
        <w:rPr>
          <w:sz w:val="24"/>
          <w:szCs w:val="24"/>
        </w:rPr>
        <w:t xml:space="preserve"> Bonus projects)</w:t>
      </w:r>
      <w:r>
        <w:rPr>
          <w:sz w:val="24"/>
          <w:szCs w:val="24"/>
        </w:rPr>
        <w:t xml:space="preserve">, </w:t>
      </w:r>
      <w:r w:rsidR="000A1119">
        <w:rPr>
          <w:sz w:val="24"/>
          <w:szCs w:val="24"/>
        </w:rPr>
        <w:t xml:space="preserve">the new RRH program, </w:t>
      </w:r>
      <w:r>
        <w:rPr>
          <w:sz w:val="24"/>
          <w:szCs w:val="24"/>
        </w:rPr>
        <w:t>and the DV Bonus</w:t>
      </w:r>
      <w:r w:rsidR="00FA1B02">
        <w:rPr>
          <w:sz w:val="24"/>
          <w:szCs w:val="24"/>
        </w:rPr>
        <w:t xml:space="preserve"> </w:t>
      </w:r>
      <w:proofErr w:type="gramStart"/>
      <w:r w:rsidR="00FA1B02">
        <w:rPr>
          <w:sz w:val="24"/>
          <w:szCs w:val="24"/>
        </w:rPr>
        <w:t>so as to</w:t>
      </w:r>
      <w:proofErr w:type="gramEnd"/>
      <w:r w:rsidR="00FA1B02">
        <w:rPr>
          <w:sz w:val="24"/>
          <w:szCs w:val="24"/>
        </w:rPr>
        <w:t xml:space="preserve"> accurately assess their unique characteristics</w:t>
      </w:r>
      <w:r>
        <w:rPr>
          <w:sz w:val="24"/>
          <w:szCs w:val="24"/>
        </w:rPr>
        <w:t xml:space="preserve">.  </w:t>
      </w:r>
      <w:r w:rsidR="00FA1B02">
        <w:rPr>
          <w:sz w:val="24"/>
          <w:szCs w:val="24"/>
        </w:rPr>
        <w:t>O</w:t>
      </w:r>
      <w:r>
        <w:rPr>
          <w:sz w:val="24"/>
          <w:szCs w:val="24"/>
        </w:rPr>
        <w:t xml:space="preserve">bjective data were used in each tool </w:t>
      </w:r>
      <w:proofErr w:type="gramStart"/>
      <w:r>
        <w:rPr>
          <w:sz w:val="24"/>
          <w:szCs w:val="24"/>
        </w:rPr>
        <w:t>including:</w:t>
      </w:r>
      <w:proofErr w:type="gramEnd"/>
      <w:r>
        <w:rPr>
          <w:sz w:val="24"/>
          <w:szCs w:val="24"/>
        </w:rPr>
        <w:t xml:space="preserve"> cost effectiveness, performance outcomes (exits to PH, return to homelessness rate, and increasing income), </w:t>
      </w:r>
      <w:r w:rsidR="00FA1B02">
        <w:rPr>
          <w:sz w:val="24"/>
          <w:szCs w:val="24"/>
        </w:rPr>
        <w:t xml:space="preserve">commitment to serving vulnerable populations, history with addressing homelessness, and whether the program filled a unique </w:t>
      </w:r>
      <w:proofErr w:type="spellStart"/>
      <w:r w:rsidR="00FA1B02">
        <w:rPr>
          <w:sz w:val="24"/>
          <w:szCs w:val="24"/>
        </w:rPr>
        <w:t>CoC</w:t>
      </w:r>
      <w:proofErr w:type="spellEnd"/>
      <w:r w:rsidR="00FA1B02">
        <w:rPr>
          <w:sz w:val="24"/>
          <w:szCs w:val="24"/>
        </w:rPr>
        <w:t xml:space="preserve"> need. </w:t>
      </w:r>
    </w:p>
    <w:p w14:paraId="6529B9C6" w14:textId="77777777" w:rsidR="00F963EA" w:rsidRDefault="00A31697" w:rsidP="001902FA">
      <w:pPr>
        <w:rPr>
          <w:sz w:val="24"/>
          <w:szCs w:val="24"/>
        </w:rPr>
      </w:pPr>
      <w:r>
        <w:rPr>
          <w:sz w:val="24"/>
          <w:szCs w:val="24"/>
        </w:rPr>
        <w:t>All applications for both renewals and new projects were due in e</w:t>
      </w:r>
      <w:r w:rsidR="00F963EA">
        <w:rPr>
          <w:sz w:val="24"/>
          <w:szCs w:val="24"/>
        </w:rPr>
        <w:t>-</w:t>
      </w:r>
      <w:r>
        <w:rPr>
          <w:sz w:val="24"/>
          <w:szCs w:val="24"/>
        </w:rPr>
        <w:t xml:space="preserve">snaps on 8/23/2019.  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Coordinator reviewed the applications for completeness and accuracy.  She then assembled</w:t>
      </w:r>
      <w:r w:rsidR="00F963EA">
        <w:rPr>
          <w:sz w:val="24"/>
          <w:szCs w:val="24"/>
        </w:rPr>
        <w:t xml:space="preserve"> packets for the R&amp;R subcommittee consisting of: the scoring tools, the project applications, detailed instructions, and a </w:t>
      </w:r>
      <w:proofErr w:type="spellStart"/>
      <w:r w:rsidR="00F963EA">
        <w:rPr>
          <w:sz w:val="24"/>
          <w:szCs w:val="24"/>
        </w:rPr>
        <w:t>CoC</w:t>
      </w:r>
      <w:proofErr w:type="spellEnd"/>
      <w:r w:rsidR="00F963EA">
        <w:rPr>
          <w:sz w:val="24"/>
          <w:szCs w:val="24"/>
        </w:rPr>
        <w:t xml:space="preserve"> Summary Report (which provides information on program outcome data from a variety of data sources including Annual Progress Reports, Program Monitoring scores, and System Performance Measures).  She delivered the packets on 8/28/19 and the members had a week to individually score the applications.  </w:t>
      </w:r>
    </w:p>
    <w:p w14:paraId="1F4BDE3E" w14:textId="44F4AC21" w:rsidR="003038BD" w:rsidRDefault="00F963EA" w:rsidP="001902FA">
      <w:pPr>
        <w:rPr>
          <w:sz w:val="24"/>
          <w:szCs w:val="24"/>
        </w:rPr>
      </w:pPr>
      <w:r>
        <w:rPr>
          <w:sz w:val="24"/>
          <w:szCs w:val="24"/>
        </w:rPr>
        <w:t xml:space="preserve">The subcommittee met on 9/4/19.  They reviewed the score sheets for each program.  They asked clarifying questions and 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Coordinator provided program specific information as well as local context.  After the review, the subcommittee members had the opportunity to adjust their scores </w:t>
      </w:r>
      <w:r w:rsidR="000A1119">
        <w:rPr>
          <w:sz w:val="24"/>
          <w:szCs w:val="24"/>
        </w:rPr>
        <w:t>within</w:t>
      </w:r>
      <w:r>
        <w:rPr>
          <w:sz w:val="24"/>
          <w:szCs w:val="24"/>
        </w:rPr>
        <w:t xml:space="preserve"> 5 points.  </w:t>
      </w:r>
      <w:r w:rsidR="003038BD">
        <w:rPr>
          <w:sz w:val="24"/>
          <w:szCs w:val="24"/>
        </w:rPr>
        <w:t xml:space="preserve">The scores were then tallied to create the final priority list. </w:t>
      </w:r>
    </w:p>
    <w:p w14:paraId="06D6B54C" w14:textId="49ACEC57" w:rsidR="003038BD" w:rsidRDefault="003038BD" w:rsidP="001902F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Coordinator shared the priority list and the scores with the programs </w:t>
      </w:r>
      <w:r w:rsidRPr="000A1119">
        <w:rPr>
          <w:sz w:val="24"/>
          <w:szCs w:val="24"/>
        </w:rPr>
        <w:t xml:space="preserve">on </w:t>
      </w:r>
      <w:r w:rsidR="00D073A3" w:rsidRPr="000A1119">
        <w:rPr>
          <w:sz w:val="24"/>
          <w:szCs w:val="24"/>
        </w:rPr>
        <w:t>9/</w:t>
      </w:r>
      <w:r w:rsidR="000A1119" w:rsidRPr="000A1119">
        <w:rPr>
          <w:sz w:val="24"/>
          <w:szCs w:val="24"/>
        </w:rPr>
        <w:t>10</w:t>
      </w:r>
      <w:r w:rsidR="00D073A3" w:rsidRPr="000A1119">
        <w:rPr>
          <w:sz w:val="24"/>
          <w:szCs w:val="24"/>
        </w:rPr>
        <w:t>/19</w:t>
      </w:r>
      <w:r w:rsidRPr="000A1119">
        <w:rPr>
          <w:sz w:val="24"/>
          <w:szCs w:val="24"/>
        </w:rPr>
        <w:t>.</w:t>
      </w:r>
      <w:r w:rsidRPr="003038BD">
        <w:rPr>
          <w:sz w:val="24"/>
          <w:szCs w:val="24"/>
        </w:rPr>
        <w:t xml:space="preserve">  She also</w:t>
      </w:r>
      <w:r w:rsidR="000A1119">
        <w:rPr>
          <w:sz w:val="24"/>
          <w:szCs w:val="24"/>
        </w:rPr>
        <w:t xml:space="preserve"> sent the list and scores for</w:t>
      </w:r>
      <w:r w:rsidRPr="003038BD">
        <w:rPr>
          <w:sz w:val="24"/>
          <w:szCs w:val="24"/>
        </w:rPr>
        <w:t xml:space="preserve"> public post</w:t>
      </w:r>
      <w:r w:rsidR="000A1119">
        <w:rPr>
          <w:sz w:val="24"/>
          <w:szCs w:val="24"/>
        </w:rPr>
        <w:t>ing</w:t>
      </w:r>
      <w:r>
        <w:rPr>
          <w:sz w:val="24"/>
          <w:szCs w:val="24"/>
        </w:rPr>
        <w:t xml:space="preserve"> on the Community D</w:t>
      </w:r>
      <w:r w:rsidRPr="003038BD">
        <w:rPr>
          <w:sz w:val="24"/>
          <w:szCs w:val="24"/>
        </w:rPr>
        <w:t xml:space="preserve">evelopment Program, BCCAN, and HMIS websites </w:t>
      </w:r>
      <w:r w:rsidRPr="000A1119">
        <w:rPr>
          <w:sz w:val="24"/>
          <w:szCs w:val="24"/>
        </w:rPr>
        <w:t xml:space="preserve">on </w:t>
      </w:r>
      <w:bookmarkStart w:id="0" w:name="_GoBack"/>
      <w:bookmarkEnd w:id="0"/>
      <w:r w:rsidR="00D073A3" w:rsidRPr="000A1119">
        <w:rPr>
          <w:sz w:val="24"/>
          <w:szCs w:val="24"/>
        </w:rPr>
        <w:t>9/10/19</w:t>
      </w:r>
      <w:r w:rsidRPr="000A111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B146E3" w:rsidRPr="003038BD">
        <w:rPr>
          <w:sz w:val="24"/>
          <w:szCs w:val="24"/>
        </w:rPr>
        <w:tab/>
      </w:r>
    </w:p>
    <w:p w14:paraId="1AD3AE78" w14:textId="7BCA8661" w:rsidR="00F7624D" w:rsidRDefault="003038BD" w:rsidP="001902FA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Questions about the Rank &amp; Review criteria and/or process can be directed to </w:t>
      </w:r>
      <w:hyperlink r:id="rId7" w:history="1">
        <w:r w:rsidRPr="00793B84">
          <w:rPr>
            <w:rStyle w:val="Hyperlink"/>
            <w:sz w:val="24"/>
            <w:szCs w:val="24"/>
          </w:rPr>
          <w:t>ciabattonidina@gmail.com</w:t>
        </w:r>
      </w:hyperlink>
    </w:p>
    <w:p w14:paraId="2C7419BD" w14:textId="52F6D70D" w:rsidR="00F7624D" w:rsidRPr="00D70BAF" w:rsidRDefault="00F7624D" w:rsidP="00F7624D">
      <w:pPr>
        <w:jc w:val="center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 w:rsidRPr="00D70BAF">
        <w:rPr>
          <w:rStyle w:val="Hyperlink"/>
          <w:b/>
          <w:bCs/>
          <w:color w:val="000000" w:themeColor="text1"/>
          <w:sz w:val="28"/>
          <w:szCs w:val="28"/>
          <w:u w:val="none"/>
        </w:rPr>
        <w:lastRenderedPageBreak/>
        <w:t>2019 Priority List</w:t>
      </w:r>
    </w:p>
    <w:p w14:paraId="69D32250" w14:textId="5940F115" w:rsidR="00F7624D" w:rsidRDefault="00F7624D" w:rsidP="00F7624D">
      <w:pPr>
        <w:spacing w:after="0"/>
        <w:rPr>
          <w:sz w:val="24"/>
          <w:szCs w:val="24"/>
        </w:rPr>
      </w:pPr>
      <w:r w:rsidRPr="00F33B9D">
        <w:rPr>
          <w:b/>
          <w:sz w:val="24"/>
          <w:szCs w:val="24"/>
        </w:rPr>
        <w:t xml:space="preserve">Annual Renewal Demand:  </w:t>
      </w:r>
      <w:r>
        <w:rPr>
          <w:sz w:val="24"/>
          <w:szCs w:val="24"/>
        </w:rPr>
        <w:t>$1,407,225</w:t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proofErr w:type="spellStart"/>
      <w:r w:rsidR="00A4268B" w:rsidRPr="00A4268B">
        <w:rPr>
          <w:b/>
          <w:bCs/>
          <w:sz w:val="24"/>
          <w:szCs w:val="24"/>
        </w:rPr>
        <w:t>CoC</w:t>
      </w:r>
      <w:proofErr w:type="spellEnd"/>
      <w:r w:rsidR="00A4268B" w:rsidRPr="00A4268B">
        <w:rPr>
          <w:b/>
          <w:bCs/>
          <w:sz w:val="24"/>
          <w:szCs w:val="24"/>
        </w:rPr>
        <w:t xml:space="preserve"> Bonus:</w:t>
      </w:r>
      <w:r w:rsidR="00A4268B">
        <w:rPr>
          <w:sz w:val="24"/>
          <w:szCs w:val="24"/>
        </w:rPr>
        <w:t xml:space="preserve"> $240,751</w:t>
      </w:r>
    </w:p>
    <w:p w14:paraId="63D83F96" w14:textId="27140DDA" w:rsidR="00F7624D" w:rsidRDefault="00F7624D" w:rsidP="00F7624D">
      <w:pPr>
        <w:spacing w:after="0"/>
        <w:rPr>
          <w:sz w:val="24"/>
          <w:szCs w:val="24"/>
        </w:rPr>
      </w:pPr>
      <w:r w:rsidRPr="00D922EA">
        <w:rPr>
          <w:b/>
          <w:sz w:val="24"/>
          <w:szCs w:val="24"/>
        </w:rPr>
        <w:t>Tier 1 Amount:</w:t>
      </w:r>
      <w:r>
        <w:rPr>
          <w:sz w:val="24"/>
          <w:szCs w:val="24"/>
        </w:rPr>
        <w:t xml:space="preserve"> $1,331,859</w:t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 w:rsidRPr="00A4268B">
        <w:rPr>
          <w:b/>
          <w:bCs/>
          <w:sz w:val="24"/>
          <w:szCs w:val="24"/>
        </w:rPr>
        <w:t>DV Bonus:</w:t>
      </w:r>
      <w:r w:rsidR="00A4268B">
        <w:rPr>
          <w:sz w:val="24"/>
          <w:szCs w:val="24"/>
        </w:rPr>
        <w:t xml:space="preserve"> $237, 023</w:t>
      </w:r>
    </w:p>
    <w:p w14:paraId="7A0C463D" w14:textId="5BF13730" w:rsidR="00F7624D" w:rsidRDefault="00F7624D" w:rsidP="00F7624D">
      <w:pPr>
        <w:spacing w:after="0"/>
        <w:rPr>
          <w:sz w:val="24"/>
          <w:szCs w:val="24"/>
        </w:rPr>
      </w:pPr>
      <w:r w:rsidRPr="00D922EA">
        <w:rPr>
          <w:b/>
          <w:sz w:val="24"/>
          <w:szCs w:val="24"/>
        </w:rPr>
        <w:t>Tier 2 Amount:</w:t>
      </w:r>
      <w:r>
        <w:rPr>
          <w:sz w:val="24"/>
          <w:szCs w:val="24"/>
        </w:rPr>
        <w:t xml:space="preserve"> $75,366</w:t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>
        <w:rPr>
          <w:sz w:val="24"/>
          <w:szCs w:val="24"/>
        </w:rPr>
        <w:tab/>
      </w:r>
      <w:r w:rsidR="00A4268B" w:rsidRPr="00A4268B">
        <w:rPr>
          <w:b/>
          <w:bCs/>
          <w:sz w:val="24"/>
          <w:szCs w:val="24"/>
        </w:rPr>
        <w:t>Planning Grant amount (NOT RANKED):</w:t>
      </w:r>
      <w:r w:rsidR="00A4268B">
        <w:rPr>
          <w:sz w:val="24"/>
          <w:szCs w:val="24"/>
        </w:rPr>
        <w:t xml:space="preserve"> $71,107</w:t>
      </w:r>
    </w:p>
    <w:tbl>
      <w:tblPr>
        <w:tblStyle w:val="TableGrid"/>
        <w:tblpPr w:leftFromText="180" w:rightFromText="180" w:vertAnchor="page" w:horzAnchor="margin" w:tblpY="3511"/>
        <w:tblW w:w="13045" w:type="dxa"/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2137"/>
        <w:gridCol w:w="1057"/>
        <w:gridCol w:w="1193"/>
        <w:gridCol w:w="1530"/>
        <w:gridCol w:w="1350"/>
        <w:gridCol w:w="1170"/>
        <w:gridCol w:w="1260"/>
      </w:tblGrid>
      <w:tr w:rsidR="00B96BAE" w14:paraId="57F23393" w14:textId="77777777" w:rsidTr="00B96BAE">
        <w:tc>
          <w:tcPr>
            <w:tcW w:w="918" w:type="dxa"/>
          </w:tcPr>
          <w:p w14:paraId="02BB9B85" w14:textId="77777777" w:rsidR="00B96BAE" w:rsidRPr="001662A0" w:rsidRDefault="00B96BAE" w:rsidP="00B96BAE">
            <w:pPr>
              <w:jc w:val="center"/>
              <w:rPr>
                <w:b/>
              </w:rPr>
            </w:pPr>
            <w:r w:rsidRPr="001662A0">
              <w:rPr>
                <w:b/>
              </w:rPr>
              <w:t>RANK</w:t>
            </w:r>
          </w:p>
        </w:tc>
        <w:tc>
          <w:tcPr>
            <w:tcW w:w="2430" w:type="dxa"/>
          </w:tcPr>
          <w:p w14:paraId="7249EE9E" w14:textId="77777777" w:rsidR="00B96BAE" w:rsidRPr="001662A0" w:rsidRDefault="00B96BAE" w:rsidP="00B96BAE">
            <w:pPr>
              <w:jc w:val="center"/>
              <w:rPr>
                <w:b/>
              </w:rPr>
            </w:pPr>
            <w:r w:rsidRPr="001662A0">
              <w:rPr>
                <w:b/>
              </w:rPr>
              <w:t>APPLICANT NAME</w:t>
            </w:r>
          </w:p>
        </w:tc>
        <w:tc>
          <w:tcPr>
            <w:tcW w:w="2137" w:type="dxa"/>
          </w:tcPr>
          <w:p w14:paraId="1954112C" w14:textId="77777777" w:rsidR="00B96BAE" w:rsidRPr="001662A0" w:rsidRDefault="00B96BAE" w:rsidP="00B96BAE">
            <w:pPr>
              <w:jc w:val="center"/>
              <w:rPr>
                <w:b/>
              </w:rPr>
            </w:pPr>
            <w:r w:rsidRPr="001662A0">
              <w:rPr>
                <w:b/>
              </w:rPr>
              <w:t>PROJECT NAME</w:t>
            </w:r>
          </w:p>
        </w:tc>
        <w:tc>
          <w:tcPr>
            <w:tcW w:w="1057" w:type="dxa"/>
          </w:tcPr>
          <w:p w14:paraId="4923936F" w14:textId="77777777" w:rsidR="00B96BAE" w:rsidRPr="001662A0" w:rsidRDefault="00B96BAE" w:rsidP="00B96BAE">
            <w:pPr>
              <w:jc w:val="center"/>
              <w:rPr>
                <w:b/>
              </w:rPr>
            </w:pPr>
            <w:r>
              <w:rPr>
                <w:b/>
              </w:rPr>
              <w:t>Rank &amp; Review Score</w:t>
            </w:r>
          </w:p>
        </w:tc>
        <w:tc>
          <w:tcPr>
            <w:tcW w:w="1193" w:type="dxa"/>
          </w:tcPr>
          <w:p w14:paraId="74DBE9FB" w14:textId="77777777" w:rsidR="00B96BAE" w:rsidRPr="001662A0" w:rsidRDefault="00B96BAE" w:rsidP="00B96BAE">
            <w:pPr>
              <w:jc w:val="center"/>
              <w:rPr>
                <w:b/>
              </w:rPr>
            </w:pPr>
            <w:r w:rsidRPr="001662A0">
              <w:rPr>
                <w:b/>
              </w:rPr>
              <w:t>PROJECT TYPE</w:t>
            </w:r>
          </w:p>
        </w:tc>
        <w:tc>
          <w:tcPr>
            <w:tcW w:w="1530" w:type="dxa"/>
          </w:tcPr>
          <w:p w14:paraId="33AC2829" w14:textId="77777777" w:rsidR="00B96BAE" w:rsidRPr="001662A0" w:rsidRDefault="00B96BAE" w:rsidP="00B96BAE">
            <w:pPr>
              <w:jc w:val="center"/>
              <w:rPr>
                <w:b/>
              </w:rPr>
            </w:pPr>
            <w:r w:rsidRPr="001662A0">
              <w:rPr>
                <w:b/>
              </w:rPr>
              <w:t>COMPONENT TYPE</w:t>
            </w:r>
          </w:p>
        </w:tc>
        <w:tc>
          <w:tcPr>
            <w:tcW w:w="1350" w:type="dxa"/>
          </w:tcPr>
          <w:p w14:paraId="6E8D8EF9" w14:textId="77777777" w:rsidR="00B96BAE" w:rsidRPr="001662A0" w:rsidRDefault="00B96BAE" w:rsidP="00B96BAE">
            <w:pPr>
              <w:jc w:val="center"/>
              <w:rPr>
                <w:b/>
              </w:rPr>
            </w:pPr>
            <w:r w:rsidRPr="001662A0">
              <w:rPr>
                <w:b/>
              </w:rPr>
              <w:t>AMOUNT REQUESTED</w:t>
            </w:r>
          </w:p>
        </w:tc>
        <w:tc>
          <w:tcPr>
            <w:tcW w:w="1170" w:type="dxa"/>
          </w:tcPr>
          <w:p w14:paraId="47B2DDBE" w14:textId="77777777" w:rsidR="00B96BAE" w:rsidRPr="001662A0" w:rsidRDefault="00B96BAE" w:rsidP="00B96BAE">
            <w:pPr>
              <w:jc w:val="center"/>
              <w:rPr>
                <w:b/>
              </w:rPr>
            </w:pPr>
            <w:r w:rsidRPr="001662A0">
              <w:rPr>
                <w:b/>
              </w:rPr>
              <w:t>AMOUNT RANKED</w:t>
            </w:r>
          </w:p>
        </w:tc>
        <w:tc>
          <w:tcPr>
            <w:tcW w:w="1260" w:type="dxa"/>
          </w:tcPr>
          <w:p w14:paraId="33F1A275" w14:textId="77777777" w:rsidR="00B96BAE" w:rsidRPr="001662A0" w:rsidRDefault="00B96BAE" w:rsidP="00B96BAE">
            <w:pPr>
              <w:jc w:val="center"/>
              <w:rPr>
                <w:b/>
              </w:rPr>
            </w:pPr>
            <w:r w:rsidRPr="001662A0">
              <w:rPr>
                <w:b/>
              </w:rPr>
              <w:t>RUNNING TOTAL</w:t>
            </w:r>
          </w:p>
        </w:tc>
      </w:tr>
      <w:tr w:rsidR="00B96BAE" w14:paraId="4D3CA4D5" w14:textId="77777777" w:rsidTr="00B96BAE">
        <w:tc>
          <w:tcPr>
            <w:tcW w:w="918" w:type="dxa"/>
          </w:tcPr>
          <w:p w14:paraId="01B17CC7" w14:textId="77777777" w:rsidR="00B96BAE" w:rsidRDefault="00B96BAE" w:rsidP="00B96BAE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14:paraId="110C80C3" w14:textId="77777777" w:rsidR="00B96BAE" w:rsidRDefault="00B96BAE" w:rsidP="00B96BAE">
            <w:r>
              <w:t>The Salvation Army, a New York Corporation</w:t>
            </w:r>
          </w:p>
        </w:tc>
        <w:tc>
          <w:tcPr>
            <w:tcW w:w="2137" w:type="dxa"/>
          </w:tcPr>
          <w:p w14:paraId="27B48199" w14:textId="77777777" w:rsidR="00B96BAE" w:rsidRDefault="00B96BAE" w:rsidP="00B96BAE">
            <w:r>
              <w:t>FY 2019 RRH Bonus</w:t>
            </w:r>
          </w:p>
        </w:tc>
        <w:tc>
          <w:tcPr>
            <w:tcW w:w="1057" w:type="dxa"/>
          </w:tcPr>
          <w:p w14:paraId="52DCA35F" w14:textId="77777777" w:rsidR="00B96BAE" w:rsidRDefault="00B96BAE" w:rsidP="00B96BAE">
            <w:r>
              <w:t>107%</w:t>
            </w:r>
          </w:p>
        </w:tc>
        <w:tc>
          <w:tcPr>
            <w:tcW w:w="1193" w:type="dxa"/>
          </w:tcPr>
          <w:p w14:paraId="757456B7" w14:textId="77777777" w:rsidR="00B96BAE" w:rsidRDefault="00B96BAE" w:rsidP="00B96BAE">
            <w:r>
              <w:t>RENEWAL</w:t>
            </w:r>
          </w:p>
        </w:tc>
        <w:tc>
          <w:tcPr>
            <w:tcW w:w="1530" w:type="dxa"/>
          </w:tcPr>
          <w:p w14:paraId="0B2F9734" w14:textId="77777777" w:rsidR="00B96BAE" w:rsidRDefault="00B96BAE" w:rsidP="00B96BAE">
            <w:r>
              <w:t>PH-PSH</w:t>
            </w:r>
          </w:p>
        </w:tc>
        <w:tc>
          <w:tcPr>
            <w:tcW w:w="1350" w:type="dxa"/>
          </w:tcPr>
          <w:p w14:paraId="3BC86EF2" w14:textId="77777777" w:rsidR="00B96BAE" w:rsidRDefault="00B96BAE" w:rsidP="00B96BAE">
            <w:r>
              <w:t>$151,144</w:t>
            </w:r>
          </w:p>
        </w:tc>
        <w:tc>
          <w:tcPr>
            <w:tcW w:w="1170" w:type="dxa"/>
          </w:tcPr>
          <w:p w14:paraId="13551794" w14:textId="77777777" w:rsidR="00B96BAE" w:rsidRDefault="00B96BAE" w:rsidP="00B96BAE">
            <w:r>
              <w:t>$151,144</w:t>
            </w:r>
          </w:p>
        </w:tc>
        <w:tc>
          <w:tcPr>
            <w:tcW w:w="1260" w:type="dxa"/>
          </w:tcPr>
          <w:p w14:paraId="42763E31" w14:textId="77777777" w:rsidR="00B96BAE" w:rsidRDefault="00B96BAE" w:rsidP="00B96BAE">
            <w:r>
              <w:t>$151,144</w:t>
            </w:r>
          </w:p>
        </w:tc>
      </w:tr>
      <w:tr w:rsidR="00B96BAE" w14:paraId="77C20EDB" w14:textId="77777777" w:rsidTr="00B96BAE">
        <w:tc>
          <w:tcPr>
            <w:tcW w:w="918" w:type="dxa"/>
          </w:tcPr>
          <w:p w14:paraId="2A8C60B6" w14:textId="77777777" w:rsidR="00B96BAE" w:rsidRDefault="00B96BAE" w:rsidP="00B96BAE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14:paraId="6666FE15" w14:textId="77777777" w:rsidR="00B96BAE" w:rsidRDefault="00B96BAE" w:rsidP="00B96BAE">
            <w:proofErr w:type="spellStart"/>
            <w:r>
              <w:t>Zachewicz</w:t>
            </w:r>
            <w:proofErr w:type="spellEnd"/>
            <w:r>
              <w:t xml:space="preserve"> Enterprises </w:t>
            </w:r>
          </w:p>
        </w:tc>
        <w:tc>
          <w:tcPr>
            <w:tcW w:w="2137" w:type="dxa"/>
          </w:tcPr>
          <w:p w14:paraId="182E4EE9" w14:textId="77777777" w:rsidR="00B96BAE" w:rsidRDefault="00B96BAE" w:rsidP="00B96BAE">
            <w:r>
              <w:t xml:space="preserve">CRS Stone </w:t>
            </w:r>
            <w:proofErr w:type="spellStart"/>
            <w:r>
              <w:t>Harbour</w:t>
            </w:r>
            <w:proofErr w:type="spellEnd"/>
            <w:r>
              <w:t xml:space="preserve"> </w:t>
            </w:r>
          </w:p>
        </w:tc>
        <w:tc>
          <w:tcPr>
            <w:tcW w:w="1057" w:type="dxa"/>
          </w:tcPr>
          <w:p w14:paraId="43960DF8" w14:textId="77777777" w:rsidR="00B96BAE" w:rsidRDefault="00B96BAE" w:rsidP="00B96BAE">
            <w:r>
              <w:t>97%</w:t>
            </w:r>
          </w:p>
        </w:tc>
        <w:tc>
          <w:tcPr>
            <w:tcW w:w="1193" w:type="dxa"/>
          </w:tcPr>
          <w:p w14:paraId="6EA2CE50" w14:textId="77777777" w:rsidR="00B96BAE" w:rsidRPr="008C7214" w:rsidRDefault="00B96BAE" w:rsidP="00B96BAE">
            <w:r>
              <w:t>RENEWAL</w:t>
            </w:r>
          </w:p>
        </w:tc>
        <w:tc>
          <w:tcPr>
            <w:tcW w:w="1530" w:type="dxa"/>
          </w:tcPr>
          <w:p w14:paraId="76D1D07D" w14:textId="77777777" w:rsidR="00B96BAE" w:rsidRDefault="00B96BAE" w:rsidP="00B96BAE">
            <w:r>
              <w:t>TH</w:t>
            </w:r>
          </w:p>
        </w:tc>
        <w:tc>
          <w:tcPr>
            <w:tcW w:w="1350" w:type="dxa"/>
          </w:tcPr>
          <w:p w14:paraId="6A384E4F" w14:textId="77777777" w:rsidR="00B96BAE" w:rsidRDefault="00B96BAE" w:rsidP="00B96BAE">
            <w:r>
              <w:t>$387,888</w:t>
            </w:r>
          </w:p>
        </w:tc>
        <w:tc>
          <w:tcPr>
            <w:tcW w:w="1170" w:type="dxa"/>
          </w:tcPr>
          <w:p w14:paraId="0D211321" w14:textId="77777777" w:rsidR="00B96BAE" w:rsidRDefault="00B96BAE" w:rsidP="00B96BAE">
            <w:r>
              <w:t>$387,888</w:t>
            </w:r>
          </w:p>
        </w:tc>
        <w:tc>
          <w:tcPr>
            <w:tcW w:w="1260" w:type="dxa"/>
          </w:tcPr>
          <w:p w14:paraId="48E79814" w14:textId="77777777" w:rsidR="00B96BAE" w:rsidRDefault="00B96BAE" w:rsidP="00B96BAE">
            <w:r>
              <w:t>$539,032</w:t>
            </w:r>
          </w:p>
        </w:tc>
      </w:tr>
      <w:tr w:rsidR="00B96BAE" w14:paraId="67BF955F" w14:textId="77777777" w:rsidTr="00B96BAE">
        <w:tc>
          <w:tcPr>
            <w:tcW w:w="918" w:type="dxa"/>
          </w:tcPr>
          <w:p w14:paraId="6AC0CE5C" w14:textId="77777777" w:rsidR="00B96BAE" w:rsidRDefault="00B96BAE" w:rsidP="00B96BAE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14:paraId="01B9815B" w14:textId="77777777" w:rsidR="00B96BAE" w:rsidRDefault="00B96BAE" w:rsidP="00B96BAE">
            <w:r>
              <w:t>Housing Authority of the County of Beaver</w:t>
            </w:r>
          </w:p>
        </w:tc>
        <w:tc>
          <w:tcPr>
            <w:tcW w:w="2137" w:type="dxa"/>
          </w:tcPr>
          <w:p w14:paraId="44A4430B" w14:textId="77777777" w:rsidR="00B96BAE" w:rsidRDefault="00B96BAE" w:rsidP="00B96BAE">
            <w:r>
              <w:t>Crescent Commons 2019 Renewal</w:t>
            </w:r>
          </w:p>
        </w:tc>
        <w:tc>
          <w:tcPr>
            <w:tcW w:w="1057" w:type="dxa"/>
          </w:tcPr>
          <w:p w14:paraId="6CACE5AC" w14:textId="77777777" w:rsidR="00B96BAE" w:rsidRDefault="00B96BAE" w:rsidP="00B96BAE">
            <w:r>
              <w:t>96.8%</w:t>
            </w:r>
          </w:p>
        </w:tc>
        <w:tc>
          <w:tcPr>
            <w:tcW w:w="1193" w:type="dxa"/>
          </w:tcPr>
          <w:p w14:paraId="3FF3DED0" w14:textId="77777777" w:rsidR="00B96BAE" w:rsidRDefault="00B96BAE" w:rsidP="00B96BAE">
            <w:r w:rsidRPr="008C7214">
              <w:t>RENEWAL</w:t>
            </w:r>
          </w:p>
        </w:tc>
        <w:tc>
          <w:tcPr>
            <w:tcW w:w="1530" w:type="dxa"/>
          </w:tcPr>
          <w:p w14:paraId="09B797A0" w14:textId="77777777" w:rsidR="00B96BAE" w:rsidRDefault="00B96BAE" w:rsidP="00B96BAE">
            <w:r>
              <w:t>PH-PSH</w:t>
            </w:r>
          </w:p>
        </w:tc>
        <w:tc>
          <w:tcPr>
            <w:tcW w:w="1350" w:type="dxa"/>
          </w:tcPr>
          <w:p w14:paraId="6340823B" w14:textId="77777777" w:rsidR="00B96BAE" w:rsidRDefault="00B96BAE" w:rsidP="00B96BAE">
            <w:r>
              <w:t>$222,021</w:t>
            </w:r>
          </w:p>
        </w:tc>
        <w:tc>
          <w:tcPr>
            <w:tcW w:w="1170" w:type="dxa"/>
          </w:tcPr>
          <w:p w14:paraId="3CD0F89C" w14:textId="77777777" w:rsidR="00B96BAE" w:rsidRDefault="00B96BAE" w:rsidP="00B96BAE">
            <w:r>
              <w:t>$222,021</w:t>
            </w:r>
          </w:p>
        </w:tc>
        <w:tc>
          <w:tcPr>
            <w:tcW w:w="1260" w:type="dxa"/>
          </w:tcPr>
          <w:p w14:paraId="37DE5715" w14:textId="77777777" w:rsidR="00B96BAE" w:rsidRDefault="00B96BAE" w:rsidP="00B96BAE">
            <w:r>
              <w:t>$761,053</w:t>
            </w:r>
          </w:p>
        </w:tc>
      </w:tr>
      <w:tr w:rsidR="00B96BAE" w14:paraId="6CB7A3EA" w14:textId="77777777" w:rsidTr="00B96BAE">
        <w:tc>
          <w:tcPr>
            <w:tcW w:w="918" w:type="dxa"/>
          </w:tcPr>
          <w:p w14:paraId="3BD2480F" w14:textId="77777777" w:rsidR="00B96BAE" w:rsidRDefault="00B96BAE" w:rsidP="00B96BAE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14:paraId="0D234C88" w14:textId="77777777" w:rsidR="00B96BAE" w:rsidRDefault="00B96BAE" w:rsidP="00B96BAE">
            <w:r>
              <w:t>Community Development Program of Beaver County</w:t>
            </w:r>
          </w:p>
        </w:tc>
        <w:tc>
          <w:tcPr>
            <w:tcW w:w="2137" w:type="dxa"/>
          </w:tcPr>
          <w:p w14:paraId="1E3BB228" w14:textId="77777777" w:rsidR="00B96BAE" w:rsidRDefault="00B96BAE" w:rsidP="00B96BAE">
            <w:r>
              <w:t xml:space="preserve">HMIS </w:t>
            </w:r>
          </w:p>
        </w:tc>
        <w:tc>
          <w:tcPr>
            <w:tcW w:w="1057" w:type="dxa"/>
          </w:tcPr>
          <w:p w14:paraId="732E7D92" w14:textId="77777777" w:rsidR="00B96BAE" w:rsidRDefault="00B96BAE" w:rsidP="00B96BAE">
            <w:r>
              <w:t>96.7%</w:t>
            </w:r>
          </w:p>
        </w:tc>
        <w:tc>
          <w:tcPr>
            <w:tcW w:w="1193" w:type="dxa"/>
          </w:tcPr>
          <w:p w14:paraId="59945076" w14:textId="77777777" w:rsidR="00B96BAE" w:rsidRDefault="00B96BAE" w:rsidP="00B96BAE">
            <w:proofErr w:type="spellStart"/>
            <w:r>
              <w:t>CoC</w:t>
            </w:r>
            <w:proofErr w:type="spellEnd"/>
            <w:r>
              <w:t xml:space="preserve"> Bonus</w:t>
            </w:r>
          </w:p>
        </w:tc>
        <w:tc>
          <w:tcPr>
            <w:tcW w:w="1530" w:type="dxa"/>
          </w:tcPr>
          <w:p w14:paraId="29DF939D" w14:textId="77777777" w:rsidR="00B96BAE" w:rsidRDefault="00B96BAE" w:rsidP="00B96BAE">
            <w:r>
              <w:t>HMIS</w:t>
            </w:r>
          </w:p>
        </w:tc>
        <w:tc>
          <w:tcPr>
            <w:tcW w:w="1350" w:type="dxa"/>
          </w:tcPr>
          <w:p w14:paraId="012EB239" w14:textId="77777777" w:rsidR="00B96BAE" w:rsidRDefault="00B96BAE" w:rsidP="00B96BAE">
            <w:r>
              <w:t>$78,952</w:t>
            </w:r>
          </w:p>
        </w:tc>
        <w:tc>
          <w:tcPr>
            <w:tcW w:w="1170" w:type="dxa"/>
          </w:tcPr>
          <w:p w14:paraId="7777F36B" w14:textId="77777777" w:rsidR="00B96BAE" w:rsidRDefault="00B96BAE" w:rsidP="00B96BAE">
            <w:r>
              <w:t>$78,952</w:t>
            </w:r>
          </w:p>
        </w:tc>
        <w:tc>
          <w:tcPr>
            <w:tcW w:w="1260" w:type="dxa"/>
          </w:tcPr>
          <w:p w14:paraId="4FC25159" w14:textId="77777777" w:rsidR="00B96BAE" w:rsidRDefault="00B96BAE" w:rsidP="00B96BAE">
            <w:r>
              <w:t>$840,005</w:t>
            </w:r>
          </w:p>
        </w:tc>
      </w:tr>
      <w:tr w:rsidR="00B96BAE" w14:paraId="28E08417" w14:textId="77777777" w:rsidTr="00B96BAE">
        <w:tc>
          <w:tcPr>
            <w:tcW w:w="918" w:type="dxa"/>
          </w:tcPr>
          <w:p w14:paraId="5C182704" w14:textId="77777777" w:rsidR="00B96BAE" w:rsidRDefault="00B96BAE" w:rsidP="00B96BAE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14:paraId="259DAA95" w14:textId="77777777" w:rsidR="00B96BAE" w:rsidRDefault="00B96BAE" w:rsidP="00B96BAE">
            <w:r>
              <w:t xml:space="preserve">The Cornerstone </w:t>
            </w:r>
            <w:r w:rsidRPr="00F92A61">
              <w:t>of Beaver County</w:t>
            </w:r>
          </w:p>
        </w:tc>
        <w:tc>
          <w:tcPr>
            <w:tcW w:w="2137" w:type="dxa"/>
          </w:tcPr>
          <w:p w14:paraId="2CA5DFB6" w14:textId="77777777" w:rsidR="00B96BAE" w:rsidRDefault="00B96BAE" w:rsidP="00B96BAE">
            <w:proofErr w:type="spellStart"/>
            <w:r>
              <w:t>CoC</w:t>
            </w:r>
            <w:proofErr w:type="spellEnd"/>
            <w:r>
              <w:t xml:space="preserve"> Coordinated Entry </w:t>
            </w:r>
          </w:p>
        </w:tc>
        <w:tc>
          <w:tcPr>
            <w:tcW w:w="1057" w:type="dxa"/>
          </w:tcPr>
          <w:p w14:paraId="72840AD4" w14:textId="77777777" w:rsidR="00B96BAE" w:rsidRDefault="00B96BAE" w:rsidP="00B96BAE">
            <w:r>
              <w:t>96.2%</w:t>
            </w:r>
          </w:p>
        </w:tc>
        <w:tc>
          <w:tcPr>
            <w:tcW w:w="1193" w:type="dxa"/>
          </w:tcPr>
          <w:p w14:paraId="4EA04C51" w14:textId="77777777" w:rsidR="00B96BAE" w:rsidRDefault="00B96BAE" w:rsidP="00B96BAE">
            <w:proofErr w:type="spellStart"/>
            <w:r>
              <w:t>CoC</w:t>
            </w:r>
            <w:proofErr w:type="spellEnd"/>
            <w:r>
              <w:t xml:space="preserve"> Bonus</w:t>
            </w:r>
          </w:p>
        </w:tc>
        <w:tc>
          <w:tcPr>
            <w:tcW w:w="1530" w:type="dxa"/>
          </w:tcPr>
          <w:p w14:paraId="769CAF71" w14:textId="77777777" w:rsidR="00B96BAE" w:rsidRDefault="00B96BAE" w:rsidP="00B96BAE">
            <w:pPr>
              <w:ind w:right="-80"/>
            </w:pPr>
            <w:r>
              <w:t>COORD. ENTRY</w:t>
            </w:r>
          </w:p>
        </w:tc>
        <w:tc>
          <w:tcPr>
            <w:tcW w:w="1350" w:type="dxa"/>
          </w:tcPr>
          <w:p w14:paraId="74037117" w14:textId="77777777" w:rsidR="00B96BAE" w:rsidRDefault="00B96BAE" w:rsidP="00B96BAE">
            <w:r>
              <w:t>$49,720</w:t>
            </w:r>
          </w:p>
        </w:tc>
        <w:tc>
          <w:tcPr>
            <w:tcW w:w="1170" w:type="dxa"/>
          </w:tcPr>
          <w:p w14:paraId="4316870D" w14:textId="77777777" w:rsidR="00B96BAE" w:rsidRDefault="00B96BAE" w:rsidP="00B96BAE">
            <w:r>
              <w:t>$49,720</w:t>
            </w:r>
          </w:p>
        </w:tc>
        <w:tc>
          <w:tcPr>
            <w:tcW w:w="1260" w:type="dxa"/>
          </w:tcPr>
          <w:p w14:paraId="5247D5C3" w14:textId="77777777" w:rsidR="00B96BAE" w:rsidRDefault="00B96BAE" w:rsidP="00B96BAE">
            <w:r>
              <w:t>$889,725</w:t>
            </w:r>
          </w:p>
        </w:tc>
      </w:tr>
      <w:tr w:rsidR="00B96BAE" w14:paraId="48BE0B8C" w14:textId="77777777" w:rsidTr="00B96BAE">
        <w:tc>
          <w:tcPr>
            <w:tcW w:w="918" w:type="dxa"/>
          </w:tcPr>
          <w:p w14:paraId="48382F8F" w14:textId="77777777" w:rsidR="00B96BAE" w:rsidRDefault="00B96BAE" w:rsidP="00B96BAE">
            <w:pPr>
              <w:jc w:val="center"/>
            </w:pPr>
            <w:r>
              <w:t xml:space="preserve"> 6</w:t>
            </w:r>
          </w:p>
        </w:tc>
        <w:tc>
          <w:tcPr>
            <w:tcW w:w="2430" w:type="dxa"/>
          </w:tcPr>
          <w:p w14:paraId="2E856C8C" w14:textId="77777777" w:rsidR="00B96BAE" w:rsidRDefault="00B96BAE" w:rsidP="00B96BAE">
            <w:r>
              <w:t>Salvation Army</w:t>
            </w:r>
          </w:p>
        </w:tc>
        <w:tc>
          <w:tcPr>
            <w:tcW w:w="2137" w:type="dxa"/>
          </w:tcPr>
          <w:p w14:paraId="4FA20A67" w14:textId="77777777" w:rsidR="00B96BAE" w:rsidRDefault="00B96BAE" w:rsidP="00B96BAE">
            <w:r>
              <w:t>2019 Friendship Homes</w:t>
            </w:r>
          </w:p>
        </w:tc>
        <w:tc>
          <w:tcPr>
            <w:tcW w:w="1057" w:type="dxa"/>
          </w:tcPr>
          <w:p w14:paraId="1675FF91" w14:textId="77777777" w:rsidR="00B96BAE" w:rsidRDefault="00B96BAE" w:rsidP="00B96BAE">
            <w:r>
              <w:t>94%</w:t>
            </w:r>
          </w:p>
        </w:tc>
        <w:tc>
          <w:tcPr>
            <w:tcW w:w="1193" w:type="dxa"/>
          </w:tcPr>
          <w:p w14:paraId="47DA119A" w14:textId="77777777" w:rsidR="00B96BAE" w:rsidRDefault="00B96BAE" w:rsidP="00B96BAE">
            <w:r>
              <w:t>RENEWAL</w:t>
            </w:r>
          </w:p>
        </w:tc>
        <w:tc>
          <w:tcPr>
            <w:tcW w:w="1530" w:type="dxa"/>
          </w:tcPr>
          <w:p w14:paraId="13E21611" w14:textId="77777777" w:rsidR="00B96BAE" w:rsidRDefault="00B96BAE" w:rsidP="00B96BAE">
            <w:r>
              <w:t>RRH</w:t>
            </w:r>
          </w:p>
        </w:tc>
        <w:tc>
          <w:tcPr>
            <w:tcW w:w="1350" w:type="dxa"/>
          </w:tcPr>
          <w:p w14:paraId="63754AD6" w14:textId="77777777" w:rsidR="00B96BAE" w:rsidRDefault="00B96BAE" w:rsidP="00B96BAE">
            <w:r>
              <w:t>$210,330</w:t>
            </w:r>
          </w:p>
        </w:tc>
        <w:tc>
          <w:tcPr>
            <w:tcW w:w="1170" w:type="dxa"/>
          </w:tcPr>
          <w:p w14:paraId="25C4EA95" w14:textId="77777777" w:rsidR="00B96BAE" w:rsidRDefault="00B96BAE" w:rsidP="00B96BAE">
            <w:pPr>
              <w:ind w:right="-80"/>
            </w:pPr>
            <w:r>
              <w:t>$210,330</w:t>
            </w:r>
          </w:p>
        </w:tc>
        <w:tc>
          <w:tcPr>
            <w:tcW w:w="1260" w:type="dxa"/>
          </w:tcPr>
          <w:p w14:paraId="0E680CC1" w14:textId="77777777" w:rsidR="00B96BAE" w:rsidRDefault="00B96BAE" w:rsidP="00B96BAE">
            <w:r>
              <w:t>$1,100,055</w:t>
            </w:r>
          </w:p>
        </w:tc>
      </w:tr>
      <w:tr w:rsidR="00B96BAE" w14:paraId="78C0DF26" w14:textId="77777777" w:rsidTr="00B96BAE">
        <w:tc>
          <w:tcPr>
            <w:tcW w:w="918" w:type="dxa"/>
          </w:tcPr>
          <w:p w14:paraId="3DCDE5FB" w14:textId="77777777" w:rsidR="00B96BAE" w:rsidRDefault="00B96BAE" w:rsidP="00B96BAE">
            <w:pPr>
              <w:jc w:val="center"/>
            </w:pPr>
            <w:r>
              <w:t>7*</w:t>
            </w:r>
          </w:p>
        </w:tc>
        <w:tc>
          <w:tcPr>
            <w:tcW w:w="2430" w:type="dxa"/>
          </w:tcPr>
          <w:p w14:paraId="1EFCAC25" w14:textId="77777777" w:rsidR="00B96BAE" w:rsidRDefault="00B96BAE" w:rsidP="00B96BAE">
            <w:r>
              <w:t>Housing Authority of the County of Beaver</w:t>
            </w:r>
          </w:p>
        </w:tc>
        <w:tc>
          <w:tcPr>
            <w:tcW w:w="2137" w:type="dxa"/>
          </w:tcPr>
          <w:p w14:paraId="5E64D8BD" w14:textId="77777777" w:rsidR="00B96BAE" w:rsidRDefault="00B96BAE" w:rsidP="00B96BAE">
            <w:r>
              <w:t>CARL Renewal FY 2019</w:t>
            </w:r>
          </w:p>
        </w:tc>
        <w:tc>
          <w:tcPr>
            <w:tcW w:w="1057" w:type="dxa"/>
          </w:tcPr>
          <w:p w14:paraId="5DDBA792" w14:textId="77777777" w:rsidR="00B96BAE" w:rsidRDefault="00B96BAE" w:rsidP="00B96BAE">
            <w:r>
              <w:t>83.7%</w:t>
            </w:r>
          </w:p>
        </w:tc>
        <w:tc>
          <w:tcPr>
            <w:tcW w:w="1193" w:type="dxa"/>
          </w:tcPr>
          <w:p w14:paraId="4EB86EDE" w14:textId="77777777" w:rsidR="00B96BAE" w:rsidRDefault="00B96BAE" w:rsidP="00B96BAE">
            <w:r w:rsidRPr="008C7214">
              <w:t>RENEWAL</w:t>
            </w:r>
          </w:p>
        </w:tc>
        <w:tc>
          <w:tcPr>
            <w:tcW w:w="1530" w:type="dxa"/>
          </w:tcPr>
          <w:p w14:paraId="14822AE5" w14:textId="77777777" w:rsidR="00B96BAE" w:rsidRDefault="00B96BAE" w:rsidP="00B96BAE">
            <w:r>
              <w:t>PH-PSH</w:t>
            </w:r>
          </w:p>
        </w:tc>
        <w:tc>
          <w:tcPr>
            <w:tcW w:w="1350" w:type="dxa"/>
          </w:tcPr>
          <w:p w14:paraId="60B44A69" w14:textId="77777777" w:rsidR="00B96BAE" w:rsidRDefault="00B96BAE" w:rsidP="00B96BAE">
            <w:r>
              <w:t>$435,872</w:t>
            </w:r>
          </w:p>
        </w:tc>
        <w:tc>
          <w:tcPr>
            <w:tcW w:w="1170" w:type="dxa"/>
          </w:tcPr>
          <w:p w14:paraId="7F979953" w14:textId="77777777" w:rsidR="00B96BAE" w:rsidRDefault="00B96BAE" w:rsidP="00B96BAE">
            <w:pPr>
              <w:ind w:right="-80"/>
            </w:pPr>
            <w:r>
              <w:t>$435,872</w:t>
            </w:r>
          </w:p>
        </w:tc>
        <w:tc>
          <w:tcPr>
            <w:tcW w:w="1260" w:type="dxa"/>
          </w:tcPr>
          <w:p w14:paraId="75E1F6AA" w14:textId="77777777" w:rsidR="00B96BAE" w:rsidRDefault="00B96BAE" w:rsidP="00B96BAE">
            <w:r>
              <w:t>$1,535,927</w:t>
            </w:r>
          </w:p>
        </w:tc>
      </w:tr>
      <w:tr w:rsidR="00B96BAE" w14:paraId="74447398" w14:textId="77777777" w:rsidTr="00B96BAE">
        <w:tc>
          <w:tcPr>
            <w:tcW w:w="918" w:type="dxa"/>
          </w:tcPr>
          <w:p w14:paraId="1A3DBDB4" w14:textId="77777777" w:rsidR="00B96BAE" w:rsidRDefault="00B96BAE" w:rsidP="00B96BAE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14:paraId="4DA35079" w14:textId="77777777" w:rsidR="00B96BAE" w:rsidRDefault="00B96BAE" w:rsidP="00B96BAE">
            <w:r>
              <w:t>Housing Authority of Beaver County</w:t>
            </w:r>
          </w:p>
        </w:tc>
        <w:tc>
          <w:tcPr>
            <w:tcW w:w="2137" w:type="dxa"/>
          </w:tcPr>
          <w:p w14:paraId="0D5300A3" w14:textId="77777777" w:rsidR="00B96BAE" w:rsidRDefault="00B96BAE" w:rsidP="00B96BAE">
            <w:r>
              <w:t>Safely Home</w:t>
            </w:r>
          </w:p>
        </w:tc>
        <w:tc>
          <w:tcPr>
            <w:tcW w:w="1057" w:type="dxa"/>
          </w:tcPr>
          <w:p w14:paraId="444C160D" w14:textId="77777777" w:rsidR="00B96BAE" w:rsidRDefault="00B96BAE" w:rsidP="00B96BAE">
            <w:r>
              <w:t>83.2%</w:t>
            </w:r>
          </w:p>
        </w:tc>
        <w:tc>
          <w:tcPr>
            <w:tcW w:w="1193" w:type="dxa"/>
          </w:tcPr>
          <w:p w14:paraId="35F6CA56" w14:textId="77777777" w:rsidR="00B96BAE" w:rsidRDefault="00B96BAE" w:rsidP="00B96BAE">
            <w:r>
              <w:t>DV BONUS</w:t>
            </w:r>
          </w:p>
        </w:tc>
        <w:tc>
          <w:tcPr>
            <w:tcW w:w="1530" w:type="dxa"/>
          </w:tcPr>
          <w:p w14:paraId="57BD285F" w14:textId="77777777" w:rsidR="00B96BAE" w:rsidRDefault="00B96BAE" w:rsidP="00B96BAE">
            <w:r>
              <w:t>PH-RRH</w:t>
            </w:r>
          </w:p>
        </w:tc>
        <w:tc>
          <w:tcPr>
            <w:tcW w:w="1350" w:type="dxa"/>
          </w:tcPr>
          <w:p w14:paraId="0EC2AA45" w14:textId="77777777" w:rsidR="00B96BAE" w:rsidRDefault="00B96BAE" w:rsidP="00B96BAE">
            <w:r>
              <w:t>$234,727</w:t>
            </w:r>
          </w:p>
        </w:tc>
        <w:tc>
          <w:tcPr>
            <w:tcW w:w="1170" w:type="dxa"/>
          </w:tcPr>
          <w:p w14:paraId="5D0ABFCE" w14:textId="77777777" w:rsidR="00B96BAE" w:rsidRDefault="00B96BAE" w:rsidP="00B96BAE">
            <w:pPr>
              <w:ind w:right="-80"/>
            </w:pPr>
            <w:r>
              <w:t>$234,727</w:t>
            </w:r>
          </w:p>
        </w:tc>
        <w:tc>
          <w:tcPr>
            <w:tcW w:w="1260" w:type="dxa"/>
          </w:tcPr>
          <w:p w14:paraId="006D1828" w14:textId="77777777" w:rsidR="00B96BAE" w:rsidRDefault="00B96BAE" w:rsidP="00B96BAE">
            <w:r>
              <w:t>$1,770,654</w:t>
            </w:r>
          </w:p>
        </w:tc>
      </w:tr>
      <w:tr w:rsidR="00B96BAE" w14:paraId="2D7840F1" w14:textId="77777777" w:rsidTr="00B96BAE">
        <w:tc>
          <w:tcPr>
            <w:tcW w:w="918" w:type="dxa"/>
            <w:tcBorders>
              <w:bottom w:val="single" w:sz="4" w:space="0" w:color="auto"/>
            </w:tcBorders>
          </w:tcPr>
          <w:p w14:paraId="01138FDA" w14:textId="77777777" w:rsidR="00B96BAE" w:rsidRDefault="00B96BAE" w:rsidP="00B96BAE">
            <w:pPr>
              <w:jc w:val="center"/>
            </w:pPr>
            <w:r>
              <w:t>Not Ranked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6823FFC" w14:textId="77777777" w:rsidR="00B96BAE" w:rsidRDefault="00B96BAE" w:rsidP="00B96BAE">
            <w:r>
              <w:t xml:space="preserve">Collaborative Applicant -County of Beaver 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2DDDA3AE" w14:textId="77777777" w:rsidR="00B96BAE" w:rsidRDefault="00B96BAE" w:rsidP="00B96BAE">
            <w:r w:rsidRPr="00865FD1">
              <w:t xml:space="preserve">PA-603 </w:t>
            </w:r>
            <w:proofErr w:type="spellStart"/>
            <w:r w:rsidRPr="00865FD1">
              <w:t>CoC</w:t>
            </w:r>
            <w:proofErr w:type="spellEnd"/>
            <w:r w:rsidRPr="00865FD1">
              <w:t xml:space="preserve"> Planning Application FY 201</w:t>
            </w:r>
            <w:r>
              <w:t>9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ADD1631" w14:textId="77777777" w:rsidR="00B96BAE" w:rsidRDefault="00B96BAE" w:rsidP="00B96BAE">
            <w:r>
              <w:t>N/A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7EA91051" w14:textId="77777777" w:rsidR="00B96BAE" w:rsidRDefault="00B96BAE" w:rsidP="00B96BAE">
            <w:r>
              <w:t>PLANNING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6E3EE4F" w14:textId="77777777" w:rsidR="00B96BAE" w:rsidRDefault="00B96BAE" w:rsidP="00B96BAE">
            <w:proofErr w:type="spellStart"/>
            <w:r>
              <w:t>CoC</w:t>
            </w:r>
            <w:proofErr w:type="spellEnd"/>
            <w:r>
              <w:t xml:space="preserve"> Planning Project Application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3A2257" w14:textId="77777777" w:rsidR="00B96BAE" w:rsidRDefault="00B96BAE" w:rsidP="00B96BAE">
            <w:r>
              <w:t>$71,107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E44550D" w14:textId="77777777" w:rsidR="00B96BAE" w:rsidRDefault="00B96BAE" w:rsidP="00B96BAE">
            <w:r>
              <w:t>$71,107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7F8759" w14:textId="77777777" w:rsidR="00B96BAE" w:rsidRDefault="00B96BAE" w:rsidP="00B96BAE">
            <w:r>
              <w:t>$1,841,761</w:t>
            </w:r>
          </w:p>
        </w:tc>
      </w:tr>
      <w:tr w:rsidR="00B96BAE" w14:paraId="0749CCB9" w14:textId="77777777" w:rsidTr="00B96BAE">
        <w:tc>
          <w:tcPr>
            <w:tcW w:w="918" w:type="dxa"/>
            <w:tcBorders>
              <w:right w:val="nil"/>
            </w:tcBorders>
          </w:tcPr>
          <w:p w14:paraId="79602EB2" w14:textId="77777777" w:rsidR="00B96BAE" w:rsidRDefault="00B96BAE" w:rsidP="00B96B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F8384" wp14:editId="60A51C2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123190</wp:posOffset>
                      </wp:positionV>
                      <wp:extent cx="665480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9FE3F" w14:textId="77777777" w:rsidR="00B96BAE" w:rsidRPr="00DF2ABE" w:rsidRDefault="00B96BAE" w:rsidP="00B96BAE">
                                  <w:pPr>
                                    <w:rPr>
                                      <w:i/>
                                    </w:rPr>
                                  </w:pPr>
                                  <w:r w:rsidRPr="00DF2ABE">
                                    <w:t xml:space="preserve">* </w:t>
                                  </w:r>
                                  <w:r w:rsidRPr="00DF2ABE">
                                    <w:rPr>
                                      <w:i/>
                                    </w:rPr>
                                    <w:t xml:space="preserve"> This project splits Tier 1 and Tier 2. Of the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project's total request, $231,804 is in Tier 1 and $204,068</w:t>
                                  </w:r>
                                  <w:r w:rsidRPr="00DF2ABE">
                                    <w:rPr>
                                      <w:i/>
                                    </w:rPr>
                                    <w:t xml:space="preserve"> is in Tier 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F83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85pt;margin-top:9.7pt;width:5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" filled="f" stroked="f">
                      <v:textbox>
                        <w:txbxContent>
                          <w:p w14:paraId="6499FE3F" w14:textId="77777777" w:rsidR="00B96BAE" w:rsidRPr="00DF2ABE" w:rsidRDefault="00B96BAE" w:rsidP="00B96BAE">
                            <w:pPr>
                              <w:rPr>
                                <w:i/>
                              </w:rPr>
                            </w:pPr>
                            <w:r w:rsidRPr="00DF2ABE">
                              <w:t xml:space="preserve">* </w:t>
                            </w:r>
                            <w:r w:rsidRPr="00DF2ABE">
                              <w:rPr>
                                <w:i/>
                              </w:rPr>
                              <w:t xml:space="preserve"> This project splits Tier 1 and Tier 2. Of the</w:t>
                            </w:r>
                            <w:r>
                              <w:rPr>
                                <w:i/>
                              </w:rPr>
                              <w:t xml:space="preserve"> project's total request, $231,804 is in Tier 1 and $204,068</w:t>
                            </w:r>
                            <w:r w:rsidRPr="00DF2ABE">
                              <w:rPr>
                                <w:i/>
                              </w:rPr>
                              <w:t xml:space="preserve"> is in Tier 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EC5800" w14:textId="77777777" w:rsidR="00B96BAE" w:rsidRDefault="00B96BAE" w:rsidP="00B96BAE"/>
        </w:tc>
        <w:tc>
          <w:tcPr>
            <w:tcW w:w="2430" w:type="dxa"/>
            <w:tcBorders>
              <w:left w:val="nil"/>
              <w:right w:val="nil"/>
            </w:tcBorders>
          </w:tcPr>
          <w:p w14:paraId="7AF8E338" w14:textId="77777777" w:rsidR="00B96BAE" w:rsidRDefault="00B96BAE" w:rsidP="00B96BAE"/>
        </w:tc>
        <w:tc>
          <w:tcPr>
            <w:tcW w:w="2137" w:type="dxa"/>
            <w:tcBorders>
              <w:left w:val="nil"/>
              <w:right w:val="nil"/>
            </w:tcBorders>
          </w:tcPr>
          <w:p w14:paraId="3931D8D9" w14:textId="77777777" w:rsidR="00B96BAE" w:rsidRDefault="00B96BAE" w:rsidP="00B96BAE"/>
        </w:tc>
        <w:tc>
          <w:tcPr>
            <w:tcW w:w="1057" w:type="dxa"/>
            <w:tcBorders>
              <w:left w:val="nil"/>
              <w:right w:val="nil"/>
            </w:tcBorders>
          </w:tcPr>
          <w:p w14:paraId="4858E043" w14:textId="77777777" w:rsidR="00B96BAE" w:rsidRDefault="00B96BAE" w:rsidP="00B96BAE"/>
        </w:tc>
        <w:tc>
          <w:tcPr>
            <w:tcW w:w="1193" w:type="dxa"/>
            <w:tcBorders>
              <w:left w:val="nil"/>
              <w:right w:val="nil"/>
            </w:tcBorders>
          </w:tcPr>
          <w:p w14:paraId="14A0459B" w14:textId="77777777" w:rsidR="00B96BAE" w:rsidRDefault="00B96BAE" w:rsidP="00B96BAE"/>
          <w:p w14:paraId="639B07EC" w14:textId="77777777" w:rsidR="00B96BAE" w:rsidRDefault="00B96BAE" w:rsidP="00B96BAE"/>
          <w:p w14:paraId="4D8BE6EA" w14:textId="77777777" w:rsidR="00B96BAE" w:rsidRDefault="00B96BAE" w:rsidP="00B96BAE"/>
        </w:tc>
        <w:tc>
          <w:tcPr>
            <w:tcW w:w="1530" w:type="dxa"/>
            <w:tcBorders>
              <w:left w:val="nil"/>
              <w:right w:val="nil"/>
            </w:tcBorders>
          </w:tcPr>
          <w:p w14:paraId="0B26745B" w14:textId="77777777" w:rsidR="00B96BAE" w:rsidRDefault="00B96BAE" w:rsidP="00B96BAE"/>
        </w:tc>
        <w:tc>
          <w:tcPr>
            <w:tcW w:w="1350" w:type="dxa"/>
            <w:tcBorders>
              <w:left w:val="nil"/>
              <w:right w:val="nil"/>
            </w:tcBorders>
          </w:tcPr>
          <w:p w14:paraId="5D4A7643" w14:textId="77777777" w:rsidR="00B96BAE" w:rsidRDefault="00B96BAE" w:rsidP="00B96BAE"/>
        </w:tc>
        <w:tc>
          <w:tcPr>
            <w:tcW w:w="1170" w:type="dxa"/>
            <w:tcBorders>
              <w:left w:val="nil"/>
              <w:right w:val="nil"/>
            </w:tcBorders>
          </w:tcPr>
          <w:p w14:paraId="0CA7D2D1" w14:textId="77777777" w:rsidR="00B96BAE" w:rsidRDefault="00B96BAE" w:rsidP="00B96BAE"/>
        </w:tc>
        <w:tc>
          <w:tcPr>
            <w:tcW w:w="1260" w:type="dxa"/>
            <w:tcBorders>
              <w:left w:val="nil"/>
            </w:tcBorders>
          </w:tcPr>
          <w:p w14:paraId="1D4F53AD" w14:textId="77777777" w:rsidR="00B96BAE" w:rsidRDefault="00B96BAE" w:rsidP="00B96BAE"/>
        </w:tc>
      </w:tr>
    </w:tbl>
    <w:p w14:paraId="62A4DD85" w14:textId="167FA0D7" w:rsidR="00F7624D" w:rsidRDefault="00F7624D" w:rsidP="00F7624D">
      <w:pPr>
        <w:rPr>
          <w:rStyle w:val="Hyperlink"/>
          <w:color w:val="000000" w:themeColor="text1"/>
          <w:sz w:val="28"/>
          <w:szCs w:val="28"/>
          <w:u w:val="none"/>
        </w:rPr>
      </w:pPr>
    </w:p>
    <w:p w14:paraId="394A1FE4" w14:textId="77777777" w:rsidR="00F7624D" w:rsidRDefault="00F7624D" w:rsidP="00B96BAE">
      <w:pPr>
        <w:rPr>
          <w:rStyle w:val="Hyperlink"/>
          <w:color w:val="000000" w:themeColor="text1"/>
          <w:sz w:val="28"/>
          <w:szCs w:val="28"/>
          <w:u w:val="none"/>
        </w:rPr>
      </w:pPr>
    </w:p>
    <w:sectPr w:rsidR="00F7624D" w:rsidSect="00F7624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3D11" w14:textId="77777777" w:rsidR="007C44BB" w:rsidRDefault="007C44BB" w:rsidP="00DE0B49">
      <w:pPr>
        <w:spacing w:after="0" w:line="240" w:lineRule="auto"/>
      </w:pPr>
      <w:r>
        <w:separator/>
      </w:r>
    </w:p>
  </w:endnote>
  <w:endnote w:type="continuationSeparator" w:id="0">
    <w:p w14:paraId="690BF46C" w14:textId="77777777" w:rsidR="007C44BB" w:rsidRDefault="007C44BB" w:rsidP="00DE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0D39" w14:textId="77777777" w:rsidR="007C44BB" w:rsidRDefault="007C44BB" w:rsidP="00DE0B49">
      <w:pPr>
        <w:spacing w:after="0" w:line="240" w:lineRule="auto"/>
      </w:pPr>
      <w:r>
        <w:separator/>
      </w:r>
    </w:p>
  </w:footnote>
  <w:footnote w:type="continuationSeparator" w:id="0">
    <w:p w14:paraId="45108B63" w14:textId="77777777" w:rsidR="007C44BB" w:rsidRDefault="007C44BB" w:rsidP="00DE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5A4" w14:textId="7E1091F9" w:rsidR="007C44BB" w:rsidRDefault="007326C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BCF03F" wp14:editId="6198105D">
              <wp:simplePos x="0" y="0"/>
              <wp:positionH relativeFrom="column">
                <wp:posOffset>2260600</wp:posOffset>
              </wp:positionH>
              <wp:positionV relativeFrom="paragraph">
                <wp:posOffset>6350</wp:posOffset>
              </wp:positionV>
              <wp:extent cx="3086100" cy="3175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43A06" w14:textId="088E63CC" w:rsidR="007326CF" w:rsidRPr="007326CF" w:rsidRDefault="00ED338E" w:rsidP="00F7624D">
                          <w:pPr>
                            <w:jc w:val="both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</w:t>
                          </w:r>
                          <w:r w:rsidR="00F7624D">
                            <w:rPr>
                              <w:sz w:val="32"/>
                              <w:szCs w:val="32"/>
                            </w:rPr>
                            <w:t xml:space="preserve">2019 Review &amp; Rank Summary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CF0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8pt;margin-top:.5pt;width:243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" stroked="f">
              <v:textbox>
                <w:txbxContent>
                  <w:p w14:paraId="0BC43A06" w14:textId="088E63CC" w:rsidR="007326CF" w:rsidRPr="007326CF" w:rsidRDefault="00ED338E" w:rsidP="00F7624D">
                    <w:pPr>
                      <w:jc w:val="both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</w:t>
                    </w:r>
                    <w:r w:rsidR="00F7624D">
                      <w:rPr>
                        <w:sz w:val="32"/>
                        <w:szCs w:val="32"/>
                      </w:rPr>
                      <w:t xml:space="preserve">2019 Review &amp; Rank Summary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501A74E" wp14:editId="4BB0A8BB">
          <wp:extent cx="2038350" cy="488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7C48"/>
    <w:multiLevelType w:val="hybridMultilevel"/>
    <w:tmpl w:val="6D6A058E"/>
    <w:lvl w:ilvl="0" w:tplc="B4A47B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91"/>
    <w:rsid w:val="00033055"/>
    <w:rsid w:val="00034F10"/>
    <w:rsid w:val="00061613"/>
    <w:rsid w:val="000A1119"/>
    <w:rsid w:val="000A1699"/>
    <w:rsid w:val="000F000B"/>
    <w:rsid w:val="001902FA"/>
    <w:rsid w:val="001922DB"/>
    <w:rsid w:val="001A4A28"/>
    <w:rsid w:val="001D6107"/>
    <w:rsid w:val="001E4058"/>
    <w:rsid w:val="0023203D"/>
    <w:rsid w:val="003038BD"/>
    <w:rsid w:val="00334C2D"/>
    <w:rsid w:val="00360162"/>
    <w:rsid w:val="003E18DF"/>
    <w:rsid w:val="003E2891"/>
    <w:rsid w:val="003F2099"/>
    <w:rsid w:val="0044656F"/>
    <w:rsid w:val="004569AE"/>
    <w:rsid w:val="004A3059"/>
    <w:rsid w:val="004D2262"/>
    <w:rsid w:val="004E5474"/>
    <w:rsid w:val="004F587A"/>
    <w:rsid w:val="005F39FB"/>
    <w:rsid w:val="005F65D0"/>
    <w:rsid w:val="00613FBE"/>
    <w:rsid w:val="00624C88"/>
    <w:rsid w:val="0063651E"/>
    <w:rsid w:val="00664E28"/>
    <w:rsid w:val="007326CF"/>
    <w:rsid w:val="007C44BB"/>
    <w:rsid w:val="007D14B1"/>
    <w:rsid w:val="007E1537"/>
    <w:rsid w:val="008221B0"/>
    <w:rsid w:val="008D063F"/>
    <w:rsid w:val="008E5B23"/>
    <w:rsid w:val="008E7F87"/>
    <w:rsid w:val="00935192"/>
    <w:rsid w:val="00952F1C"/>
    <w:rsid w:val="009625AB"/>
    <w:rsid w:val="009B58A8"/>
    <w:rsid w:val="009E44C1"/>
    <w:rsid w:val="00A31697"/>
    <w:rsid w:val="00A4268B"/>
    <w:rsid w:val="00B146E3"/>
    <w:rsid w:val="00B238E2"/>
    <w:rsid w:val="00B7004B"/>
    <w:rsid w:val="00B93DAC"/>
    <w:rsid w:val="00B96BAE"/>
    <w:rsid w:val="00C00DDB"/>
    <w:rsid w:val="00D073A3"/>
    <w:rsid w:val="00D70BAF"/>
    <w:rsid w:val="00D80F60"/>
    <w:rsid w:val="00DD7CDF"/>
    <w:rsid w:val="00DE0B49"/>
    <w:rsid w:val="00E3137A"/>
    <w:rsid w:val="00E343FA"/>
    <w:rsid w:val="00ED1174"/>
    <w:rsid w:val="00ED338E"/>
    <w:rsid w:val="00F7624D"/>
    <w:rsid w:val="00F963EA"/>
    <w:rsid w:val="00FA1B02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D868C6"/>
  <w15:docId w15:val="{EB2B7855-907E-40D1-A33D-C83C6A4A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9"/>
  </w:style>
  <w:style w:type="paragraph" w:styleId="Footer">
    <w:name w:val="footer"/>
    <w:basedOn w:val="Normal"/>
    <w:link w:val="FooterChar"/>
    <w:uiPriority w:val="99"/>
    <w:unhideWhenUsed/>
    <w:rsid w:val="00DE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9"/>
  </w:style>
  <w:style w:type="paragraph" w:styleId="BalloonText">
    <w:name w:val="Balloon Text"/>
    <w:basedOn w:val="Normal"/>
    <w:link w:val="BalloonTextChar"/>
    <w:uiPriority w:val="99"/>
    <w:semiHidden/>
    <w:unhideWhenUsed/>
    <w:rsid w:val="00D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8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abattonid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Review &amp; Rank Subcommittee                                          Information Packets and Instructions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Review &amp; Rank Subcommittee                                          Information Packets and Instructions</dc:title>
  <dc:creator>Dina</dc:creator>
  <cp:lastModifiedBy>Dina Ciabattoni</cp:lastModifiedBy>
  <cp:revision>11</cp:revision>
  <cp:lastPrinted>2019-09-04T15:00:00Z</cp:lastPrinted>
  <dcterms:created xsi:type="dcterms:W3CDTF">2019-09-06T18:21:00Z</dcterms:created>
  <dcterms:modified xsi:type="dcterms:W3CDTF">2019-09-10T16:29:00Z</dcterms:modified>
</cp:coreProperties>
</file>