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5" w:rsidRDefault="00F03515" w:rsidP="00F03515">
      <w:pPr>
        <w:pBdr>
          <w:bottom w:val="doub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8050" w:type="dxa"/>
        <w:jc w:val="center"/>
        <w:tblLook w:val="04A0" w:firstRow="1" w:lastRow="0" w:firstColumn="1" w:lastColumn="0" w:noHBand="0" w:noVBand="1"/>
      </w:tblPr>
      <w:tblGrid>
        <w:gridCol w:w="4780"/>
        <w:gridCol w:w="1765"/>
        <w:gridCol w:w="1505"/>
      </w:tblGrid>
      <w:tr w:rsidR="00F03515" w:rsidRPr="00845968" w:rsidTr="00271150">
        <w:trPr>
          <w:trHeight w:val="458"/>
          <w:jc w:val="center"/>
        </w:trPr>
        <w:tc>
          <w:tcPr>
            <w:tcW w:w="8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3515" w:rsidRPr="00A864AD" w:rsidRDefault="00F03515" w:rsidP="00271150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proofErr w:type="spellStart"/>
            <w:r w:rsidRPr="00A864AD">
              <w:rPr>
                <w:b/>
                <w:color w:val="000000"/>
                <w:sz w:val="28"/>
                <w:szCs w:val="28"/>
              </w:rPr>
              <w:t>CoC</w:t>
            </w:r>
            <w:proofErr w:type="spellEnd"/>
            <w:r w:rsidRPr="00A864AD">
              <w:rPr>
                <w:b/>
                <w:color w:val="000000"/>
                <w:sz w:val="28"/>
                <w:szCs w:val="28"/>
              </w:rPr>
              <w:t xml:space="preserve"> Scoring Summary</w:t>
            </w:r>
          </w:p>
        </w:tc>
      </w:tr>
      <w:tr w:rsidR="00F03515" w:rsidRPr="00845968" w:rsidTr="00271150">
        <w:trPr>
          <w:trHeight w:val="870"/>
          <w:jc w:val="center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 w:rsidRPr="00DA0F8F">
              <w:rPr>
                <w:color w:val="000000"/>
              </w:rPr>
              <w:t>Scoring Category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3515" w:rsidRPr="007C2826" w:rsidRDefault="00F03515" w:rsidP="00271150">
            <w:pPr>
              <w:spacing w:after="120"/>
              <w:jc w:val="center"/>
              <w:rPr>
                <w:color w:val="000000"/>
              </w:rPr>
            </w:pPr>
            <w:r w:rsidRPr="007C2826">
              <w:rPr>
                <w:color w:val="000000"/>
              </w:rPr>
              <w:t>Maximum Score (Points)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Your </w:t>
            </w:r>
            <w:proofErr w:type="spellStart"/>
            <w:r w:rsidRPr="007C2826">
              <w:rPr>
                <w:color w:val="000000"/>
              </w:rPr>
              <w:t>CoC</w:t>
            </w:r>
            <w:proofErr w:type="spellEnd"/>
            <w:r w:rsidRPr="007C2826">
              <w:rPr>
                <w:color w:val="000000"/>
              </w:rPr>
              <w:t xml:space="preserve"> Score </w:t>
            </w:r>
            <w:r w:rsidRPr="00DA0F8F">
              <w:rPr>
                <w:color w:val="000000"/>
              </w:rPr>
              <w:t>(Points)</w:t>
            </w:r>
          </w:p>
        </w:tc>
      </w:tr>
      <w:tr w:rsidR="00F03515" w:rsidRPr="00DA0F8F" w:rsidTr="00271150">
        <w:trPr>
          <w:trHeight w:val="413"/>
          <w:jc w:val="center"/>
        </w:trPr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515" w:rsidRPr="00DA4B77" w:rsidRDefault="00F03515" w:rsidP="00271150">
            <w:pPr>
              <w:spacing w:after="120"/>
              <w:rPr>
                <w:iCs/>
              </w:rPr>
            </w:pPr>
            <w:r w:rsidRPr="00DA4B77">
              <w:rPr>
                <w:iCs/>
              </w:rPr>
              <w:t xml:space="preserve">Part 1: </w:t>
            </w:r>
            <w:r>
              <w:rPr>
                <w:iCs/>
              </w:rPr>
              <w:t xml:space="preserve">  </w:t>
            </w:r>
            <w:proofErr w:type="spellStart"/>
            <w:r w:rsidRPr="00DA4B77">
              <w:rPr>
                <w:iCs/>
              </w:rPr>
              <w:t>CoC</w:t>
            </w:r>
            <w:proofErr w:type="spellEnd"/>
            <w:r w:rsidRPr="00DA4B77">
              <w:rPr>
                <w:iCs/>
              </w:rPr>
              <w:t xml:space="preserve"> Structure and Governance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515" w:rsidRPr="00845968" w:rsidRDefault="00F03515" w:rsidP="0027115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 w:rsidRPr="00C40C97">
              <w:rPr>
                <w:noProof/>
                <w:color w:val="000000"/>
              </w:rPr>
              <w:t>41.5</w:t>
            </w:r>
          </w:p>
        </w:tc>
      </w:tr>
      <w:tr w:rsidR="00F03515" w:rsidRPr="00DA0F8F" w:rsidTr="00271150">
        <w:trPr>
          <w:trHeight w:val="350"/>
          <w:jc w:val="center"/>
        </w:trPr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515" w:rsidRPr="00DA4B77" w:rsidRDefault="00F03515" w:rsidP="00271150">
            <w:pPr>
              <w:spacing w:after="120"/>
              <w:rPr>
                <w:iCs/>
              </w:rPr>
            </w:pPr>
            <w:r w:rsidRPr="00DA4B77">
              <w:rPr>
                <w:iCs/>
              </w:rPr>
              <w:t xml:space="preserve">Part 2: </w:t>
            </w:r>
            <w:r>
              <w:rPr>
                <w:iCs/>
              </w:rPr>
              <w:t xml:space="preserve">  </w:t>
            </w:r>
            <w:r w:rsidRPr="00DA4B77">
              <w:rPr>
                <w:iCs/>
              </w:rPr>
              <w:t>Data Collection and Quality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 w:rsidRPr="00C40C97">
              <w:rPr>
                <w:noProof/>
                <w:color w:val="000000"/>
              </w:rPr>
              <w:t>27</w:t>
            </w:r>
          </w:p>
        </w:tc>
      </w:tr>
      <w:tr w:rsidR="00F03515" w:rsidRPr="00DA0F8F" w:rsidTr="00271150">
        <w:trPr>
          <w:trHeight w:val="315"/>
          <w:jc w:val="center"/>
        </w:trPr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515" w:rsidRDefault="00F03515" w:rsidP="00271150">
            <w:pPr>
              <w:rPr>
                <w:iCs/>
              </w:rPr>
            </w:pPr>
            <w:r w:rsidRPr="00DA4B77">
              <w:rPr>
                <w:iCs/>
              </w:rPr>
              <w:t xml:space="preserve">Part 3: </w:t>
            </w:r>
            <w:r>
              <w:rPr>
                <w:iCs/>
              </w:rPr>
              <w:t xml:space="preserve">  </w:t>
            </w:r>
            <w:proofErr w:type="spellStart"/>
            <w:r w:rsidRPr="00DA4B77">
              <w:rPr>
                <w:iCs/>
              </w:rPr>
              <w:t>CoC</w:t>
            </w:r>
            <w:proofErr w:type="spellEnd"/>
            <w:r w:rsidRPr="00DA4B77">
              <w:rPr>
                <w:iCs/>
              </w:rPr>
              <w:t xml:space="preserve"> Performance and </w:t>
            </w:r>
            <w:r>
              <w:rPr>
                <w:iCs/>
              </w:rPr>
              <w:t xml:space="preserve">Strategic </w:t>
            </w:r>
          </w:p>
          <w:p w:rsidR="00F03515" w:rsidRPr="00DA4B77" w:rsidRDefault="00F03515" w:rsidP="00271150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Pr="00DA4B77">
              <w:rPr>
                <w:iCs/>
              </w:rPr>
              <w:t>Planning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 w:rsidRPr="00C40C97">
              <w:rPr>
                <w:noProof/>
                <w:color w:val="000000"/>
              </w:rPr>
              <w:t>78</w:t>
            </w:r>
          </w:p>
        </w:tc>
      </w:tr>
      <w:tr w:rsidR="00F03515" w:rsidRPr="00DA0F8F" w:rsidTr="00271150">
        <w:trPr>
          <w:trHeight w:val="315"/>
          <w:jc w:val="center"/>
        </w:trPr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515" w:rsidRPr="00DA4B77" w:rsidRDefault="00F03515" w:rsidP="00271150">
            <w:pPr>
              <w:spacing w:after="120"/>
              <w:rPr>
                <w:iCs/>
              </w:rPr>
            </w:pPr>
            <w:r w:rsidRPr="00DA4B77">
              <w:rPr>
                <w:iCs/>
              </w:rPr>
              <w:t xml:space="preserve">Part 4: </w:t>
            </w:r>
            <w:r>
              <w:rPr>
                <w:iCs/>
              </w:rPr>
              <w:t xml:space="preserve">  </w:t>
            </w:r>
            <w:r w:rsidRPr="00DA4B77">
              <w:rPr>
                <w:iCs/>
              </w:rPr>
              <w:t>Cross-Cutting Policies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color w:val="000000"/>
              </w:rPr>
            </w:pPr>
            <w:r w:rsidRPr="00C40C97">
              <w:rPr>
                <w:noProof/>
                <w:color w:val="000000"/>
              </w:rPr>
              <w:t>14.5</w:t>
            </w:r>
          </w:p>
        </w:tc>
      </w:tr>
      <w:tr w:rsidR="00F03515" w:rsidRPr="00DA0F8F" w:rsidTr="00271150">
        <w:trPr>
          <w:trHeight w:val="315"/>
          <w:jc w:val="center"/>
        </w:trPr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03515" w:rsidRPr="00DA0F8F" w:rsidRDefault="00F03515" w:rsidP="00271150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Total </w:t>
            </w:r>
            <w:proofErr w:type="spellStart"/>
            <w:r w:rsidRPr="00DA0F8F">
              <w:rPr>
                <w:b/>
                <w:iCs/>
              </w:rPr>
              <w:t>CoC</w:t>
            </w:r>
            <w:proofErr w:type="spellEnd"/>
            <w:r w:rsidRPr="00DA0F8F">
              <w:rPr>
                <w:b/>
                <w:iCs/>
              </w:rPr>
              <w:t xml:space="preserve"> Application Score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b/>
                <w:color w:val="000000"/>
              </w:rPr>
            </w:pPr>
            <w:r w:rsidRPr="00DA0F8F">
              <w:rPr>
                <w:b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515" w:rsidRPr="00DA0F8F" w:rsidRDefault="00F03515" w:rsidP="00271150">
            <w:pPr>
              <w:spacing w:after="120"/>
              <w:jc w:val="center"/>
              <w:rPr>
                <w:b/>
                <w:color w:val="000000"/>
              </w:rPr>
            </w:pPr>
            <w:r w:rsidRPr="00C40C97">
              <w:rPr>
                <w:b/>
                <w:noProof/>
                <w:color w:val="000000"/>
              </w:rPr>
              <w:t>161</w:t>
            </w:r>
          </w:p>
        </w:tc>
      </w:tr>
    </w:tbl>
    <w:p w:rsidR="00F03515" w:rsidRDefault="00F03515" w:rsidP="00AC6776">
      <w:pPr>
        <w:pStyle w:val="Heading3"/>
        <w:spacing w:line="276" w:lineRule="auto"/>
      </w:pPr>
    </w:p>
    <w:p w:rsidR="00AC6776" w:rsidRDefault="00AC6776" w:rsidP="00AC6776">
      <w:pPr>
        <w:pStyle w:val="Heading3"/>
        <w:spacing w:line="276" w:lineRule="auto"/>
      </w:pPr>
      <w:r>
        <w:t xml:space="preserve">Overall Scores for all </w:t>
      </w:r>
      <w:proofErr w:type="spellStart"/>
      <w:r>
        <w:t>CoCs</w:t>
      </w:r>
      <w:proofErr w:type="spellEnd"/>
    </w:p>
    <w:p w:rsidR="00AC6776" w:rsidRDefault="00AC6776" w:rsidP="00AC6776">
      <w:pPr>
        <w:ind w:left="720"/>
      </w:pPr>
      <w:r w:rsidRPr="00DA0F8F">
        <w:t>High</w:t>
      </w:r>
      <w:r>
        <w:t>est</w:t>
      </w:r>
      <w:r w:rsidRPr="00DA0F8F">
        <w:t xml:space="preserve"> Scor</w:t>
      </w:r>
      <w:r>
        <w:t xml:space="preserve">e for any </w:t>
      </w:r>
      <w:proofErr w:type="spellStart"/>
      <w:r>
        <w:t>CoC</w:t>
      </w:r>
      <w:proofErr w:type="spellEnd"/>
      <w:r w:rsidRPr="00DA0F8F">
        <w:t xml:space="preserve">: </w:t>
      </w:r>
      <w:r>
        <w:t xml:space="preserve">   187.75</w:t>
      </w:r>
    </w:p>
    <w:p w:rsidR="00AC6776" w:rsidRPr="00DA0F8F" w:rsidRDefault="00AC6776" w:rsidP="00AC6776">
      <w:pPr>
        <w:ind w:left="720"/>
      </w:pPr>
      <w:r w:rsidRPr="00DA0F8F">
        <w:t>Low</w:t>
      </w:r>
      <w:r>
        <w:t>est</w:t>
      </w:r>
      <w:r w:rsidRPr="00DA0F8F">
        <w:t xml:space="preserve"> Scor</w:t>
      </w:r>
      <w:r>
        <w:t xml:space="preserve">e for any </w:t>
      </w:r>
      <w:proofErr w:type="spellStart"/>
      <w:r>
        <w:t>CoC</w:t>
      </w:r>
      <w:proofErr w:type="spellEnd"/>
      <w:r w:rsidRPr="00DA0F8F">
        <w:t xml:space="preserve">: </w:t>
      </w:r>
      <w:r>
        <w:t xml:space="preserve">    79</w:t>
      </w:r>
    </w:p>
    <w:p w:rsidR="00AC6776" w:rsidRDefault="00AC6776" w:rsidP="00AC6776">
      <w:pPr>
        <w:ind w:left="720"/>
      </w:pPr>
      <w:r w:rsidRPr="00DA0F8F">
        <w:t>Median Score</w:t>
      </w:r>
      <w:r>
        <w:t xml:space="preserve"> for all </w:t>
      </w:r>
      <w:proofErr w:type="spellStart"/>
      <w:r>
        <w:t>CoCs</w:t>
      </w:r>
      <w:proofErr w:type="spellEnd"/>
      <w:r>
        <w:t xml:space="preserve">: </w:t>
      </w:r>
      <w:r>
        <w:tab/>
        <w:t xml:space="preserve"> 154.5 </w:t>
      </w:r>
      <w:r>
        <w:tab/>
      </w:r>
      <w:r>
        <w:tab/>
      </w:r>
    </w:p>
    <w:p w:rsidR="00AC6776" w:rsidRDefault="00AC6776" w:rsidP="00AC6776">
      <w:pPr>
        <w:spacing w:line="360" w:lineRule="auto"/>
        <w:ind w:left="720"/>
      </w:pPr>
      <w:r>
        <w:t xml:space="preserve">Weighted Mean Score for all </w:t>
      </w:r>
      <w:proofErr w:type="spellStart"/>
      <w:r>
        <w:t>CoCs</w:t>
      </w:r>
      <w:proofErr w:type="spellEnd"/>
      <w:r>
        <w:t>:  160.7</w:t>
      </w:r>
    </w:p>
    <w:p w:rsidR="00AC6776" w:rsidRDefault="00AC6776" w:rsidP="00AC6776">
      <w:pPr>
        <w:spacing w:after="200" w:line="276" w:lineRule="auto"/>
        <w:sectPr w:rsidR="00AC6776" w:rsidSect="00A71EEB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*The weighted mean score is the mean </w:t>
      </w:r>
      <w:proofErr w:type="spellStart"/>
      <w:r>
        <w:t>CoC</w:t>
      </w:r>
      <w:proofErr w:type="spellEnd"/>
      <w:r>
        <w:t xml:space="preserve"> score weighted by Annual Renewal Demand</w:t>
      </w:r>
      <w:proofErr w:type="gramStart"/>
      <w:r>
        <w:t xml:space="preserve">. </w:t>
      </w:r>
      <w:proofErr w:type="spellStart"/>
      <w:proofErr w:type="gramEnd"/>
      <w:r>
        <w:t>CoCs</w:t>
      </w:r>
      <w:proofErr w:type="spellEnd"/>
      <w:r>
        <w:t xml:space="preserve"> that scored higher than the weighted mean score were more likely to gain funding relative to their Annual Renewal Demand, while </w:t>
      </w:r>
      <w:proofErr w:type="spellStart"/>
      <w:r>
        <w:t>CoCs</w:t>
      </w:r>
      <w:proofErr w:type="spellEnd"/>
      <w:r>
        <w:t xml:space="preserve"> that scored lower than the weighted mean were more likely to lose money relative to their Annual Renewal Demand.</w:t>
      </w:r>
    </w:p>
    <w:p w:rsidR="00AC6776" w:rsidRDefault="00AC6776" w:rsidP="00AC6776">
      <w:pPr>
        <w:spacing w:after="120"/>
      </w:pPr>
      <w:proofErr w:type="spellStart"/>
      <w:r w:rsidRPr="00833659">
        <w:lastRenderedPageBreak/>
        <w:t>CoC</w:t>
      </w:r>
      <w:proofErr w:type="spellEnd"/>
      <w:r w:rsidRPr="00833659">
        <w:t xml:space="preserve"> Name</w:t>
      </w:r>
      <w:r>
        <w:t xml:space="preserve">: </w:t>
      </w:r>
      <w:r>
        <w:rPr>
          <w:noProof/>
        </w:rPr>
        <w:t>Beaver County CoC</w:t>
      </w:r>
    </w:p>
    <w:p w:rsidR="00AC6776" w:rsidRDefault="00AC6776" w:rsidP="00AC6776">
      <w:proofErr w:type="spellStart"/>
      <w:r w:rsidRPr="00833659">
        <w:t>CoC</w:t>
      </w:r>
      <w:proofErr w:type="spellEnd"/>
      <w:r w:rsidRPr="00833659">
        <w:t xml:space="preserve"> Number: </w:t>
      </w:r>
      <w:r>
        <w:rPr>
          <w:noProof/>
        </w:rPr>
        <w:t>PA-603</w:t>
      </w:r>
    </w:p>
    <w:p w:rsidR="00AC6776" w:rsidRPr="00845968" w:rsidRDefault="00AC6776" w:rsidP="00AC6776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71A28" wp14:editId="3CE32BE0">
                <wp:simplePos x="0" y="0"/>
                <wp:positionH relativeFrom="column">
                  <wp:posOffset>-59055</wp:posOffset>
                </wp:positionH>
                <wp:positionV relativeFrom="paragraph">
                  <wp:posOffset>110490</wp:posOffset>
                </wp:positionV>
                <wp:extent cx="6117590" cy="635"/>
                <wp:effectExtent l="0" t="0" r="3556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9F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65pt;margin-top:8.7pt;width:481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zPHwIAAD4EAAAOAAAAZHJzL2Uyb0RvYy54bWysU8GO2jAQvVfqP1i5QxIWK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" strokeweight="1.5pt"/>
            </w:pict>
          </mc:Fallback>
        </mc:AlternateContent>
      </w:r>
      <w:r>
        <w:tab/>
      </w:r>
    </w:p>
    <w:p w:rsidR="00AC6776" w:rsidRDefault="00AC6776" w:rsidP="00AC6776">
      <w:r>
        <w:t xml:space="preserve">This document summarizes the scores your </w:t>
      </w:r>
      <w:proofErr w:type="spellStart"/>
      <w:r>
        <w:t>CoC</w:t>
      </w:r>
      <w:proofErr w:type="spellEnd"/>
      <w:r>
        <w:t xml:space="preserve"> received in the FY 2016 Continuum of Care Program Competition application</w:t>
      </w:r>
      <w:proofErr w:type="gramStart"/>
      <w:r>
        <w:t xml:space="preserve">. </w:t>
      </w:r>
      <w:proofErr w:type="gramEnd"/>
      <w:r>
        <w:t>It provides three sets of information:</w:t>
      </w:r>
    </w:p>
    <w:p w:rsidR="00AC6776" w:rsidRDefault="00AC6776" w:rsidP="00AC6776"/>
    <w:p w:rsidR="00AC6776" w:rsidRDefault="00AC6776" w:rsidP="00AC677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CoC’s</w:t>
      </w:r>
      <w:proofErr w:type="spellEnd"/>
      <w:r>
        <w:t xml:space="preserve"> score on several high priority questions;</w:t>
      </w:r>
    </w:p>
    <w:p w:rsidR="00AC6776" w:rsidRDefault="00AC6776" w:rsidP="00AC6776">
      <w:pPr>
        <w:pStyle w:val="ListParagraph"/>
        <w:numPr>
          <w:ilvl w:val="0"/>
          <w:numId w:val="1"/>
        </w:numPr>
      </w:pPr>
      <w:r>
        <w:t xml:space="preserve">A summary of the </w:t>
      </w:r>
      <w:proofErr w:type="spellStart"/>
      <w:r>
        <w:t>CoC’s</w:t>
      </w:r>
      <w:proofErr w:type="spellEnd"/>
      <w:r>
        <w:t xml:space="preserve"> scores on the four sections of the application; and</w:t>
      </w:r>
    </w:p>
    <w:p w:rsidR="00AC6776" w:rsidRDefault="00AC6776" w:rsidP="00AC6776">
      <w:pPr>
        <w:pStyle w:val="ListParagraph"/>
        <w:numPr>
          <w:ilvl w:val="0"/>
          <w:numId w:val="1"/>
        </w:numPr>
      </w:pPr>
      <w:r>
        <w:t xml:space="preserve">A summary of the average </w:t>
      </w:r>
      <w:proofErr w:type="spellStart"/>
      <w:r>
        <w:t>CoC</w:t>
      </w:r>
      <w:proofErr w:type="spellEnd"/>
      <w:r>
        <w:t xml:space="preserve"> score, including the highest and lowest scores.</w:t>
      </w:r>
    </w:p>
    <w:p w:rsidR="00AC6776" w:rsidRDefault="00AC6776" w:rsidP="00AC6776"/>
    <w:p w:rsidR="00AC6776" w:rsidRDefault="00AC6776" w:rsidP="00AC6776">
      <w:r>
        <w:t xml:space="preserve">The scores are organized in the same manner as the </w:t>
      </w:r>
      <w:proofErr w:type="spellStart"/>
      <w:r>
        <w:t>CoC</w:t>
      </w:r>
      <w:proofErr w:type="spellEnd"/>
      <w:r>
        <w:t xml:space="preserve"> application</w:t>
      </w:r>
      <w:proofErr w:type="gramStart"/>
      <w:r>
        <w:t xml:space="preserve">. </w:t>
      </w:r>
      <w:proofErr w:type="gramEnd"/>
      <w:r>
        <w:t xml:space="preserve">In a separate document, we are publishing a crosswalk showing how the questions in the </w:t>
      </w:r>
      <w:proofErr w:type="spellStart"/>
      <w:r>
        <w:t>CoC</w:t>
      </w:r>
      <w:proofErr w:type="spellEnd"/>
      <w:r>
        <w:t xml:space="preserve"> application </w:t>
      </w:r>
      <w:proofErr w:type="gramStart"/>
      <w:r>
        <w:t>were related</w:t>
      </w:r>
      <w:proofErr w:type="gramEnd"/>
      <w:r>
        <w:t xml:space="preserve"> to the questions in the NOFA. </w:t>
      </w:r>
    </w:p>
    <w:p w:rsidR="00AC6776" w:rsidRDefault="00AC6776" w:rsidP="00AC6776"/>
    <w:p w:rsidR="00AC6776" w:rsidRDefault="00AC6776" w:rsidP="00AC6776">
      <w:r>
        <w:rPr>
          <w:b/>
        </w:rPr>
        <w:t xml:space="preserve">High Priority </w:t>
      </w:r>
      <w:proofErr w:type="spellStart"/>
      <w:r>
        <w:rPr>
          <w:b/>
        </w:rPr>
        <w:t>CoC</w:t>
      </w:r>
      <w:proofErr w:type="spellEnd"/>
      <w:r>
        <w:rPr>
          <w:b/>
        </w:rPr>
        <w:t xml:space="preserve"> Application Questions </w:t>
      </w:r>
    </w:p>
    <w:p w:rsidR="00AC6776" w:rsidRPr="00855800" w:rsidRDefault="00AC6776" w:rsidP="00AC6776">
      <w:r>
        <w:t xml:space="preserve">Below is a selection of high priority </w:t>
      </w:r>
      <w:proofErr w:type="spellStart"/>
      <w:r>
        <w:t>CoC</w:t>
      </w:r>
      <w:proofErr w:type="spellEnd"/>
      <w:r>
        <w:t xml:space="preserve"> Application questions that includes the total points available for each of the questions listed and the points received by the </w:t>
      </w:r>
      <w:proofErr w:type="spellStart"/>
      <w:r>
        <w:t>CoC</w:t>
      </w:r>
      <w:proofErr w:type="spellEnd"/>
      <w:r>
        <w:t xml:space="preserve"> for the question.  </w:t>
      </w:r>
      <w:r w:rsidRPr="00855800">
        <w:t>The chart</w:t>
      </w:r>
      <w:r>
        <w:t xml:space="preserve"> below</w:t>
      </w:r>
      <w:r w:rsidRPr="00855800">
        <w:t xml:space="preserve"> indicates the maximum amount of points available for each scoring category and the actual score </w:t>
      </w:r>
      <w:r>
        <w:t>your</w:t>
      </w:r>
      <w:r w:rsidRPr="00855800">
        <w:t xml:space="preserve"> </w:t>
      </w:r>
      <w:proofErr w:type="spellStart"/>
      <w:r w:rsidRPr="00855800">
        <w:t>CoC</w:t>
      </w:r>
      <w:proofErr w:type="spellEnd"/>
      <w:r w:rsidRPr="00855800">
        <w:t xml:space="preserve"> received.</w:t>
      </w:r>
    </w:p>
    <w:p w:rsidR="00AC6776" w:rsidRDefault="00AC6776" w:rsidP="00AC6776">
      <w:pPr>
        <w:rPr>
          <w:b/>
          <w:u w:val="single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4"/>
        <w:gridCol w:w="3515"/>
        <w:gridCol w:w="1041"/>
      </w:tblGrid>
      <w:tr w:rsidR="00AC6776" w:rsidRPr="00833659" w:rsidTr="004141F8">
        <w:trPr>
          <w:trHeight w:val="377"/>
          <w:tblHeader/>
        </w:trPr>
        <w:tc>
          <w:tcPr>
            <w:tcW w:w="9330" w:type="dxa"/>
            <w:gridSpan w:val="3"/>
            <w:shd w:val="clear" w:color="auto" w:fill="D9D9D9" w:themeFill="background1" w:themeFillShade="D9"/>
            <w:vAlign w:val="center"/>
          </w:tcPr>
          <w:p w:rsidR="00AC6776" w:rsidRPr="00833659" w:rsidRDefault="00AC6776" w:rsidP="004141F8">
            <w:pPr>
              <w:spacing w:after="120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A864AD">
              <w:rPr>
                <w:b/>
                <w:color w:val="000000"/>
                <w:sz w:val="28"/>
                <w:szCs w:val="28"/>
              </w:rPr>
              <w:t xml:space="preserve">High Priority </w:t>
            </w:r>
            <w:proofErr w:type="spellStart"/>
            <w:r w:rsidRPr="00A864AD">
              <w:rPr>
                <w:b/>
                <w:color w:val="000000"/>
                <w:sz w:val="28"/>
                <w:szCs w:val="28"/>
              </w:rPr>
              <w:t>CoC</w:t>
            </w:r>
            <w:proofErr w:type="spellEnd"/>
            <w:r w:rsidRPr="00A864AD">
              <w:rPr>
                <w:b/>
                <w:color w:val="000000"/>
                <w:sz w:val="28"/>
                <w:szCs w:val="28"/>
              </w:rPr>
              <w:t xml:space="preserve"> Application Questions</w:t>
            </w:r>
          </w:p>
        </w:tc>
      </w:tr>
      <w:tr w:rsidR="00AC6776" w:rsidRPr="00833659" w:rsidTr="004141F8">
        <w:trPr>
          <w:tblHeader/>
        </w:trPr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proofErr w:type="spellStart"/>
            <w:r w:rsidRPr="00833659">
              <w:rPr>
                <w:rFonts w:asciiTheme="minorHAnsi" w:eastAsiaTheme="minorHAnsi" w:hAnsiTheme="minorHAnsi"/>
                <w:b/>
                <w:sz w:val="22"/>
                <w:szCs w:val="22"/>
              </w:rPr>
              <w:t>CoC</w:t>
            </w:r>
            <w:proofErr w:type="spellEnd"/>
            <w:r w:rsidRPr="00833659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Application Questions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b/>
                <w:sz w:val="22"/>
                <w:szCs w:val="22"/>
              </w:rPr>
              <w:t>Maximum Score Available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proofErr w:type="spellStart"/>
            <w:r w:rsidRPr="00833659">
              <w:rPr>
                <w:rFonts w:asciiTheme="minorHAnsi" w:eastAsiaTheme="minorHAnsi" w:hAnsiTheme="minorHAnsi"/>
                <w:b/>
                <w:sz w:val="22"/>
                <w:szCs w:val="22"/>
              </w:rPr>
              <w:t>CoC</w:t>
            </w:r>
            <w:proofErr w:type="spellEnd"/>
            <w:r w:rsidRPr="00833659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Score Received</w:t>
            </w:r>
          </w:p>
        </w:tc>
      </w:tr>
      <w:tr w:rsidR="00AC6776" w:rsidRPr="00833659" w:rsidTr="004141F8">
        <w:tc>
          <w:tcPr>
            <w:tcW w:w="9330" w:type="dxa"/>
            <w:gridSpan w:val="3"/>
            <w:shd w:val="clear" w:color="auto" w:fill="F2F2F2" w:themeFill="background1" w:themeFillShade="F2"/>
          </w:tcPr>
          <w:p w:rsidR="00AC6776" w:rsidRPr="00A864AD" w:rsidRDefault="00AC6776" w:rsidP="004141F8">
            <w:pPr>
              <w:jc w:val="center"/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>1F. Continuum of Care (CoC) Project Review,</w:t>
            </w:r>
          </w:p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>Ranking, and Selection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This question assessed whether a </w:t>
            </w:r>
            <w:proofErr w:type="spellStart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CoC</w:t>
            </w:r>
            <w:proofErr w:type="spellEnd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used objective criteria and past performance to review and rank projects</w:t>
            </w:r>
            <w:proofErr w:type="gramStart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gramEnd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To receive full points, </w:t>
            </w:r>
            <w:proofErr w:type="spellStart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CoCs</w:t>
            </w:r>
            <w:proofErr w:type="spellEnd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would have had to use performance-based criteria to at least partially evaluate and rank projects</w:t>
            </w:r>
            <w:proofErr w:type="gramStart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gramEnd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Examples of performance criteria include reducing the length of time people experienced homelessness and the degree to which people exited programs for permanent housing destinations</w:t>
            </w:r>
            <w:proofErr w:type="gramStart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gramEnd"/>
            <w:r w:rsidRPr="00FD1E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1F-2.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In the sections below, check the appropriate box(s) for each section to indicate how project applications were reviewed and ranked for the FY 2016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Program Competition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(Written documentation of the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CoC's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publicly announced Rating and Review procedure 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>must be attached</w:t>
            </w:r>
            <w:proofErr w:type="gram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.)  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10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1F-2a. Describe how the </w:t>
            </w:r>
            <w:proofErr w:type="spellStart"/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 considered the </w:t>
            </w: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severity of needs and vulnerabilities of participants that are, or will be, served by the project applications when determining project application priority.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1" w:type="dxa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0</w:t>
            </w:r>
          </w:p>
        </w:tc>
      </w:tr>
      <w:tr w:rsidR="00AC6776" w:rsidRPr="00833659" w:rsidTr="004141F8">
        <w:tc>
          <w:tcPr>
            <w:tcW w:w="9330" w:type="dxa"/>
            <w:gridSpan w:val="3"/>
            <w:shd w:val="clear" w:color="auto" w:fill="F2F2F2" w:themeFill="background1" w:themeFillShade="F2"/>
          </w:tcPr>
          <w:p w:rsidR="00AC6776" w:rsidRPr="00A864AD" w:rsidRDefault="00AC6776" w:rsidP="004141F8">
            <w:pPr>
              <w:jc w:val="center"/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lastRenderedPageBreak/>
              <w:t>Homeless Management Information System</w:t>
            </w:r>
          </w:p>
          <w:p w:rsidR="00AC6776" w:rsidRPr="002F6C20" w:rsidRDefault="00AC6776" w:rsidP="004141F8">
            <w:pPr>
              <w:tabs>
                <w:tab w:val="center" w:pos="4557"/>
                <w:tab w:val="left" w:pos="7125"/>
              </w:tabs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ab/>
            </w:r>
            <w:r w:rsidRPr="00A864AD"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>(HMIS) Bed Coverage</w:t>
            </w:r>
            <w:r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ab/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2C-2. Per the 2016 Housing Inventory Count (HIC), indicate the number of beds in the 2016 HIC and in HMIS for each project type within the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.  If a particular project type does not exist in the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then enter “0” for all cells in that project type.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4</w:t>
            </w:r>
          </w:p>
        </w:tc>
      </w:tr>
      <w:tr w:rsidR="00AC6776" w:rsidRPr="00833659" w:rsidTr="004141F8">
        <w:tc>
          <w:tcPr>
            <w:tcW w:w="9330" w:type="dxa"/>
            <w:gridSpan w:val="3"/>
            <w:shd w:val="clear" w:color="auto" w:fill="F2F2F2" w:themeFill="background1" w:themeFillShade="F2"/>
          </w:tcPr>
          <w:p w:rsidR="00AC6776" w:rsidRPr="00A864AD" w:rsidRDefault="00AC6776" w:rsidP="004141F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3A. Continuum of Care (</w:t>
            </w:r>
            <w:proofErr w:type="spellStart"/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CoC</w:t>
            </w:r>
            <w:proofErr w:type="spellEnd"/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) System</w:t>
            </w:r>
          </w:p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Performance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FF1934" w:rsidRDefault="00AC6776" w:rsidP="004141F8">
            <w:pPr>
              <w:rPr>
                <w:rFonts w:asciiTheme="minorHAnsi" w:eastAsiaTheme="minorHAnsi" w:hAnsiTheme="minorHAnsi"/>
                <w:i/>
                <w:sz w:val="22"/>
                <w:szCs w:val="22"/>
              </w:rPr>
            </w:pPr>
            <w:r w:rsidRPr="00FF1934">
              <w:rPr>
                <w:rFonts w:asciiTheme="minorHAnsi" w:eastAsiaTheme="minorHAnsi" w:hAnsiTheme="minorHAnsi"/>
                <w:i/>
                <w:sz w:val="22"/>
                <w:szCs w:val="22"/>
              </w:rPr>
              <w:t>This question captured the change in PIT counts of Sheltered and Unsheltered Homeless Persons</w:t>
            </w:r>
          </w:p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3A-1a.  Using the table provided, indicate the number of persons who were homeless at the Point-in-Time (PIT) based on the 2015 and 2016 PIT counts (or the two most recent years’ PIT counts were conducted) as recorded in the Homelessness Data Exchange (HDX)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5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3A-3. Performance Measure: </w:t>
            </w:r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>Length of Time Homeless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 xml:space="preserve">Describe the </w:t>
            </w:r>
            <w:proofErr w:type="spellStart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>CoCs</w:t>
            </w:r>
            <w:proofErr w:type="spellEnd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 xml:space="preserve"> efforts to reduce the length of time individuals and families remain homeless.  Specifically, describe how the </w:t>
            </w:r>
            <w:proofErr w:type="spellStart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 xml:space="preserve"> has reduced the average length of time homeless, including how the </w:t>
            </w:r>
            <w:proofErr w:type="spellStart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957D10">
              <w:rPr>
                <w:rFonts w:asciiTheme="minorHAnsi" w:eastAsiaTheme="minorHAnsi" w:hAnsiTheme="minorHAnsi"/>
                <w:sz w:val="22"/>
                <w:szCs w:val="22"/>
              </w:rPr>
              <w:t xml:space="preserve"> identifies and houses individuals and families with the longest lengths of time homeless.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7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3A-4a. </w:t>
            </w:r>
            <w:r w:rsidRPr="0030446B">
              <w:rPr>
                <w:rFonts w:asciiTheme="minorHAnsi" w:eastAsiaTheme="minorHAnsi" w:hAnsiTheme="minorHAnsi"/>
                <w:sz w:val="22"/>
                <w:szCs w:val="22"/>
              </w:rPr>
              <w:t>Exits to P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ermanent Housing Destinations: F</w:t>
            </w:r>
            <w:r w:rsidRPr="0030446B">
              <w:rPr>
                <w:rFonts w:asciiTheme="minorHAnsi" w:eastAsiaTheme="minorHAnsi" w:hAnsiTheme="minorHAnsi"/>
                <w:sz w:val="22"/>
                <w:szCs w:val="22"/>
              </w:rPr>
              <w:t>ill in the chart to indicate the extent to which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projects</w:t>
            </w:r>
            <w:r w:rsidRPr="0030446B">
              <w:rPr>
                <w:rFonts w:asciiTheme="minorHAnsi" w:eastAsiaTheme="minorHAnsi" w:hAnsiTheme="minorHAnsi"/>
                <w:sz w:val="22"/>
                <w:szCs w:val="22"/>
              </w:rPr>
              <w:t xml:space="preserve"> exit program participants into permanent housing (subsidized or non-sub-subsidized) or the retention of program participants in </w:t>
            </w:r>
            <w:proofErr w:type="spellStart"/>
            <w:r w:rsidRPr="0030446B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30446B">
              <w:rPr>
                <w:rFonts w:asciiTheme="minorHAnsi" w:eastAsiaTheme="minorHAnsi" w:hAnsiTheme="minorHAnsi"/>
                <w:sz w:val="22"/>
                <w:szCs w:val="22"/>
              </w:rPr>
              <w:t xml:space="preserve"> Program-funded permanent supportive housing.</w:t>
            </w:r>
          </w:p>
        </w:tc>
        <w:tc>
          <w:tcPr>
            <w:tcW w:w="3515" w:type="dxa"/>
          </w:tcPr>
          <w:p w:rsidR="00AC6776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2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3A-4b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>.  Exit</w:t>
            </w:r>
            <w:proofErr w:type="gram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to or Retention of Permanent Housing.  In the chart provided,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CoCs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must indicate the number of persons who exited from any </w:t>
            </w: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-funded permanent housing project except Rapid Rehousing (RRH) to permanent housing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destinations or retained their permanent housing between October 1, 2014 and September 30, 2015</w:t>
            </w:r>
          </w:p>
        </w:tc>
        <w:tc>
          <w:tcPr>
            <w:tcW w:w="3515" w:type="dxa"/>
          </w:tcPr>
          <w:p w:rsidR="00AC6776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3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 xml:space="preserve">3A-5. </w:t>
            </w:r>
            <w:r w:rsidRPr="005D3894">
              <w:rPr>
                <w:rFonts w:asciiTheme="minorHAnsi" w:eastAsiaTheme="minorHAnsi" w:hAnsiTheme="minorHAnsi"/>
                <w:sz w:val="22"/>
                <w:szCs w:val="22"/>
              </w:rPr>
              <w:t xml:space="preserve">Performance Measure: Returns to Homelessness: Describe the </w:t>
            </w:r>
            <w:proofErr w:type="spellStart"/>
            <w:r w:rsidRPr="005D3894">
              <w:rPr>
                <w:rFonts w:asciiTheme="minorHAnsi" w:eastAsiaTheme="minorHAnsi" w:hAnsiTheme="minorHAnsi"/>
                <w:sz w:val="22"/>
                <w:szCs w:val="22"/>
              </w:rPr>
              <w:t>CoCs</w:t>
            </w:r>
            <w:proofErr w:type="spellEnd"/>
            <w:r w:rsidRPr="005D3894">
              <w:rPr>
                <w:rFonts w:asciiTheme="minorHAnsi" w:eastAsiaTheme="minorHAnsi" w:hAnsiTheme="minorHAnsi"/>
                <w:sz w:val="22"/>
                <w:szCs w:val="22"/>
              </w:rPr>
              <w:t xml:space="preserve"> efforts to reduce the rate of individuals and families who return to homelessness.  Specifically, describe strategies your </w:t>
            </w:r>
            <w:proofErr w:type="spellStart"/>
            <w:r w:rsidRPr="005D3894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5D3894">
              <w:rPr>
                <w:rFonts w:asciiTheme="minorHAnsi" w:eastAsiaTheme="minorHAnsi" w:hAnsiTheme="minorHAnsi"/>
                <w:sz w:val="22"/>
                <w:szCs w:val="22"/>
              </w:rPr>
              <w:t xml:space="preserve"> has implemented to identify and minimize the returns to homelessness, and demonstrate the use of HMIS or a comparable database to monitor and record returns to homelessness.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2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3A.8. </w:t>
            </w:r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 xml:space="preserve">Enter the date the </w:t>
            </w:r>
            <w:proofErr w:type="spellStart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 xml:space="preserve"> submitted the </w:t>
            </w:r>
            <w:proofErr w:type="gramStart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system performance measure data</w:t>
            </w:r>
            <w:proofErr w:type="gramEnd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 xml:space="preserve"> into HDX.  The System Performance Report generated by HDX </w:t>
            </w:r>
            <w:proofErr w:type="gramStart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must be attached</w:t>
            </w:r>
            <w:proofErr w:type="gramEnd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10</w:t>
            </w:r>
          </w:p>
        </w:tc>
      </w:tr>
      <w:tr w:rsidR="00AC6776" w:rsidRPr="00833659" w:rsidTr="004141F8">
        <w:tc>
          <w:tcPr>
            <w:tcW w:w="9330" w:type="dxa"/>
            <w:gridSpan w:val="3"/>
            <w:shd w:val="clear" w:color="auto" w:fill="F2F2F2" w:themeFill="background1" w:themeFillShade="F2"/>
          </w:tcPr>
          <w:p w:rsidR="00AC6776" w:rsidRPr="00A864AD" w:rsidRDefault="00AC6776" w:rsidP="004141F8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3B. Continuum of Care (</w:t>
            </w:r>
            <w:proofErr w:type="spellStart"/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CoC</w:t>
            </w:r>
            <w:proofErr w:type="spellEnd"/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) Performance and</w:t>
            </w:r>
          </w:p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Strategic Planning Objectives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3B-1.2</w:t>
            </w: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. </w:t>
            </w:r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Compare the total number of PSH beds (</w:t>
            </w:r>
            <w:proofErr w:type="spellStart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 xml:space="preserve"> program and non-</w:t>
            </w:r>
            <w:proofErr w:type="spellStart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 xml:space="preserve"> program funded) that </w:t>
            </w:r>
            <w:proofErr w:type="gramStart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>were identifie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d</w:t>
            </w:r>
            <w:proofErr w:type="gramEnd"/>
            <w:r w:rsidRPr="006A34F9">
              <w:rPr>
                <w:rFonts w:asciiTheme="minorHAnsi" w:eastAsiaTheme="minorHAnsi" w:hAnsiTheme="minorHAnsi"/>
                <w:sz w:val="22"/>
                <w:szCs w:val="22"/>
              </w:rPr>
              <w:t xml:space="preserve"> as dedicated for use by chronically homeless persons on the 2016 Housing Inventory Count, as compared to those identified on the 2015 Housing Inventory count.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7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>3B-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2.3</w:t>
            </w: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. </w:t>
            </w:r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>Compare the number of RRH units available to serve fami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lies from the 2015 and 2016 HIC</w:t>
            </w: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15" w:type="dxa"/>
          </w:tcPr>
          <w:p w:rsidR="00AC6776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0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>3B-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3.1</w:t>
            </w: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 xml:space="preserve">Compare the total number of homeless Veterans in the </w:t>
            </w:r>
            <w:proofErr w:type="spellStart"/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 xml:space="preserve"> as reported by the </w:t>
            </w:r>
            <w:proofErr w:type="spellStart"/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 xml:space="preserve"> for the 2016 PIT count compared to 2015 (or 2014 if an unsheltered count </w:t>
            </w:r>
            <w:proofErr w:type="gramStart"/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>was not conducted</w:t>
            </w:r>
            <w:proofErr w:type="gramEnd"/>
            <w:r w:rsidRPr="0050303D">
              <w:rPr>
                <w:rFonts w:asciiTheme="minorHAnsi" w:eastAsiaTheme="minorHAnsi" w:hAnsiTheme="minorHAnsi"/>
                <w:sz w:val="22"/>
                <w:szCs w:val="22"/>
              </w:rPr>
              <w:t xml:space="preserve"> in 2015.)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41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6</w:t>
            </w:r>
          </w:p>
        </w:tc>
      </w:tr>
      <w:tr w:rsidR="00AC6776" w:rsidRPr="00833659" w:rsidTr="004141F8">
        <w:tc>
          <w:tcPr>
            <w:tcW w:w="9330" w:type="dxa"/>
            <w:gridSpan w:val="3"/>
            <w:shd w:val="clear" w:color="auto" w:fill="F2F2F2" w:themeFill="background1" w:themeFillShade="F2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A864AD"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>4B. Additional Policies</w:t>
            </w:r>
            <w:r>
              <w:rPr>
                <w:rFonts w:asciiTheme="minorHAnsi" w:eastAsia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4B-1. </w:t>
            </w:r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Based on the </w:t>
            </w:r>
            <w:proofErr w:type="spellStart"/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>CoCs</w:t>
            </w:r>
            <w:proofErr w:type="spellEnd"/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 FY 2016 new and renewal project applications, what percentage of Permanent Housing (PSH and RRH), Transition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al</w:t>
            </w:r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 Housing (TH), and SSO (non-Coordinated Entry) projects in the </w:t>
            </w:r>
            <w:proofErr w:type="spellStart"/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 are low barrier?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6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3659">
              <w:rPr>
                <w:rFonts w:asciiTheme="minorHAnsi" w:eastAsiaTheme="minorHAnsi" w:hAnsiTheme="minorHAnsi"/>
                <w:sz w:val="22"/>
                <w:szCs w:val="22"/>
              </w:rPr>
              <w:t xml:space="preserve">4B-2. </w:t>
            </w:r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What percentage of </w:t>
            </w:r>
            <w:proofErr w:type="spellStart"/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 Program-funded Permanent Supportive Housing (PSH), Rapid RE-Housing (RRH), SSO (non-coordinated entry) and </w:t>
            </w:r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Transitional Housing (TH) FY 2016 projects have adopted a Housing First approach, meaning that the project quickly houses clients without preconditions or service participation requirements?</w:t>
            </w:r>
          </w:p>
        </w:tc>
        <w:tc>
          <w:tcPr>
            <w:tcW w:w="3515" w:type="dxa"/>
          </w:tcPr>
          <w:p w:rsidR="00AC6776" w:rsidRPr="00833659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41" w:type="dxa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6</w:t>
            </w:r>
          </w:p>
        </w:tc>
      </w:tr>
      <w:tr w:rsidR="00AC6776" w:rsidRPr="00833659" w:rsidTr="004141F8">
        <w:tc>
          <w:tcPr>
            <w:tcW w:w="4774" w:type="dxa"/>
          </w:tcPr>
          <w:p w:rsidR="00AC6776" w:rsidRPr="00833659" w:rsidRDefault="00AC6776" w:rsidP="004141F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 xml:space="preserve">4B-4. </w:t>
            </w:r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 xml:space="preserve">Compare the number of RRH units available to serve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all </w:t>
            </w:r>
            <w:r w:rsidRPr="007C3267">
              <w:rPr>
                <w:rFonts w:asciiTheme="minorHAnsi" w:eastAsiaTheme="minorHAnsi" w:hAnsiTheme="minorHAnsi"/>
                <w:sz w:val="22"/>
                <w:szCs w:val="22"/>
              </w:rPr>
              <w:t>populations from the 2015 and 2016 HIC.</w:t>
            </w:r>
          </w:p>
        </w:tc>
        <w:tc>
          <w:tcPr>
            <w:tcW w:w="3515" w:type="dxa"/>
          </w:tcPr>
          <w:p w:rsidR="00AC6776" w:rsidRDefault="00AC6776" w:rsidP="004141F8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AC6776" w:rsidRPr="002F6C20" w:rsidRDefault="00AC6776" w:rsidP="004141F8">
            <w:pPr>
              <w:jc w:val="center"/>
              <w:rPr>
                <w:rFonts w:asciiTheme="minorHAnsi" w:eastAsiaTheme="minorHAnsi" w:hAnsiTheme="minorHAnsi"/>
                <w:noProof/>
                <w:sz w:val="22"/>
                <w:szCs w:val="22"/>
              </w:rPr>
            </w:pPr>
            <w:r w:rsidRPr="00C40C97">
              <w:rPr>
                <w:rFonts w:asciiTheme="minorHAnsi" w:eastAsiaTheme="minorHAnsi" w:hAnsiTheme="minorHAnsi"/>
                <w:noProof/>
                <w:sz w:val="22"/>
                <w:szCs w:val="22"/>
              </w:rPr>
              <w:t>0</w:t>
            </w:r>
          </w:p>
        </w:tc>
      </w:tr>
    </w:tbl>
    <w:p w:rsidR="00AC6776" w:rsidRPr="00F03515" w:rsidRDefault="00AC6776" w:rsidP="00F03515">
      <w:pPr>
        <w:tabs>
          <w:tab w:val="left" w:pos="7330"/>
        </w:tabs>
      </w:pPr>
      <w:bookmarkStart w:id="0" w:name="_GoBack"/>
      <w:bookmarkEnd w:id="0"/>
    </w:p>
    <w:sectPr w:rsidR="00AC6776" w:rsidRPr="00F0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7C" w:rsidRDefault="00DB4A5A">
      <w:r>
        <w:separator/>
      </w:r>
    </w:p>
  </w:endnote>
  <w:endnote w:type="continuationSeparator" w:id="0">
    <w:p w:rsidR="003A477C" w:rsidRDefault="00D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76" w:rsidRDefault="00AC677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03515">
      <w:rPr>
        <w:noProof/>
      </w:rPr>
      <w:t>1</w:t>
    </w:r>
    <w:r>
      <w:fldChar w:fldCharType="end"/>
    </w:r>
    <w:r>
      <w:t xml:space="preserve"> </w:t>
    </w:r>
  </w:p>
  <w:p w:rsidR="00AC6776" w:rsidRDefault="00AC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7C" w:rsidRDefault="00DB4A5A">
      <w:r>
        <w:separator/>
      </w:r>
    </w:p>
  </w:footnote>
  <w:footnote w:type="continuationSeparator" w:id="0">
    <w:p w:rsidR="003A477C" w:rsidRDefault="00DB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76" w:rsidRDefault="00AC6776">
    <w:pPr>
      <w:pStyle w:val="Header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25"/>
      <w:gridCol w:w="2365"/>
    </w:tblGrid>
    <w:tr w:rsidR="00AC6776" w:rsidRPr="00BD3EFC" w:rsidTr="00264A27">
      <w:trPr>
        <w:trHeight w:val="738"/>
      </w:trPr>
      <w:tc>
        <w:tcPr>
          <w:tcW w:w="7225" w:type="dxa"/>
        </w:tcPr>
        <w:p w:rsidR="00AC6776" w:rsidRPr="00BD3EFC" w:rsidRDefault="00AC6776" w:rsidP="00264A27">
          <w:pPr>
            <w:tabs>
              <w:tab w:val="center" w:pos="4680"/>
              <w:tab w:val="right" w:pos="9360"/>
            </w:tabs>
            <w:jc w:val="right"/>
            <w:rPr>
              <w:rFonts w:eastAsia="Calibri"/>
              <w:b/>
              <w:bCs/>
              <w:sz w:val="28"/>
              <w:szCs w:val="28"/>
            </w:rPr>
          </w:pPr>
          <w:r w:rsidRPr="00BD3EFC">
            <w:rPr>
              <w:rFonts w:eastAsia="Calibri"/>
              <w:b/>
              <w:bCs/>
              <w:sz w:val="28"/>
              <w:szCs w:val="28"/>
            </w:rPr>
            <w:t xml:space="preserve">                                Continuum of Care Program</w:t>
          </w:r>
        </w:p>
        <w:p w:rsidR="00AC6776" w:rsidRPr="00BD3EFC" w:rsidRDefault="00AC6776" w:rsidP="00264A27">
          <w:pPr>
            <w:tabs>
              <w:tab w:val="center" w:pos="4680"/>
              <w:tab w:val="right" w:pos="9360"/>
            </w:tabs>
            <w:jc w:val="right"/>
            <w:rPr>
              <w:rFonts w:ascii="Cambria" w:hAnsi="Cambria"/>
              <w:sz w:val="36"/>
              <w:szCs w:val="36"/>
            </w:rPr>
          </w:pPr>
          <w:r w:rsidRPr="00BD3EFC">
            <w:rPr>
              <w:rFonts w:eastAsia="Calibri"/>
              <w:b/>
              <w:bCs/>
              <w:sz w:val="28"/>
              <w:szCs w:val="28"/>
            </w:rPr>
            <w:t xml:space="preserve"> Competition Debriefing</w:t>
          </w:r>
        </w:p>
      </w:tc>
      <w:tc>
        <w:tcPr>
          <w:tcW w:w="2365" w:type="dxa"/>
        </w:tcPr>
        <w:p w:rsidR="00AC6776" w:rsidRPr="00BD3EFC" w:rsidRDefault="00AC6776" w:rsidP="00264A27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sz w:val="36"/>
              <w:szCs w:val="36"/>
            </w:rPr>
          </w:pPr>
          <w:r w:rsidRPr="00BD3EFC">
            <w:rPr>
              <w:rFonts w:ascii="Cambria" w:hAnsi="Cambria"/>
              <w:b/>
              <w:bCs/>
              <w:sz w:val="36"/>
              <w:szCs w:val="36"/>
            </w:rPr>
            <w:t>FY 201</w:t>
          </w:r>
          <w:r>
            <w:rPr>
              <w:rFonts w:ascii="Cambria" w:hAnsi="Cambria"/>
              <w:b/>
              <w:bCs/>
              <w:sz w:val="36"/>
              <w:szCs w:val="36"/>
            </w:rPr>
            <w:t>6</w:t>
          </w:r>
        </w:p>
        <w:p w:rsidR="00AC6776" w:rsidRPr="00BD3EFC" w:rsidRDefault="00AC6776" w:rsidP="00264A27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sz w:val="28"/>
              <w:szCs w:val="28"/>
            </w:rPr>
          </w:pPr>
        </w:p>
      </w:tc>
    </w:tr>
  </w:tbl>
  <w:p w:rsidR="00AC6776" w:rsidRPr="00FD1E72" w:rsidRDefault="00AC6776" w:rsidP="00264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55"/>
      <w:gridCol w:w="8035"/>
    </w:tblGrid>
    <w:tr w:rsidR="00AC6776" w:rsidTr="00264A27">
      <w:trPr>
        <w:trHeight w:val="288"/>
      </w:trPr>
      <w:tc>
        <w:tcPr>
          <w:tcW w:w="1555" w:type="dxa"/>
        </w:tcPr>
        <w:p w:rsidR="00AC6776" w:rsidRDefault="00AC6776" w:rsidP="00264A2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eastAsia="Calibri"/>
              <w:b/>
              <w:bCs/>
              <w:noProof/>
              <w:sz w:val="28"/>
              <w:szCs w:val="28"/>
            </w:rPr>
            <w:drawing>
              <wp:inline distT="0" distB="0" distL="0" distR="0" wp14:anchorId="00D096FB" wp14:editId="5D3CDA7F">
                <wp:extent cx="797560" cy="797560"/>
                <wp:effectExtent l="0" t="0" r="2540" b="2540"/>
                <wp:docPr id="2" name="Picture 2" descr="hud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d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/>
              <w:b/>
              <w:bCs/>
              <w:sz w:val="28"/>
              <w:szCs w:val="28"/>
            </w:rPr>
            <w:t xml:space="preserve">                                </w:t>
          </w:r>
        </w:p>
      </w:tc>
      <w:tc>
        <w:tcPr>
          <w:tcW w:w="8035" w:type="dxa"/>
        </w:tcPr>
        <w:p w:rsidR="00AC6776" w:rsidRDefault="00AC6776" w:rsidP="00264A27">
          <w:pPr>
            <w:pStyle w:val="Header"/>
            <w:jc w:val="right"/>
            <w:rPr>
              <w:rFonts w:ascii="Cambria" w:hAnsi="Cambria"/>
              <w:b/>
              <w:bCs/>
              <w:sz w:val="36"/>
              <w:szCs w:val="36"/>
            </w:rPr>
          </w:pPr>
        </w:p>
        <w:p w:rsidR="00AC6776" w:rsidRDefault="00AC6776" w:rsidP="00264A27">
          <w:pPr>
            <w:pStyle w:val="Header"/>
            <w:jc w:val="right"/>
            <w:rPr>
              <w:rFonts w:ascii="Cambria" w:hAnsi="Cambria"/>
              <w:b/>
              <w:bCs/>
              <w:sz w:val="36"/>
              <w:szCs w:val="36"/>
            </w:rPr>
          </w:pPr>
        </w:p>
        <w:p w:rsidR="00AC6776" w:rsidRPr="00563048" w:rsidRDefault="00AC6776" w:rsidP="00264A27">
          <w:pPr>
            <w:pStyle w:val="Header"/>
            <w:jc w:val="right"/>
            <w:rPr>
              <w:rFonts w:ascii="Cambria" w:hAnsi="Cambria"/>
              <w:b/>
              <w:bCs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FY 2015</w:t>
          </w:r>
          <w:r w:rsidRPr="00B23E26">
            <w:rPr>
              <w:rFonts w:eastAsia="Calibri"/>
              <w:b/>
              <w:bCs/>
              <w:sz w:val="28"/>
              <w:szCs w:val="28"/>
            </w:rPr>
            <w:t xml:space="preserve"> C</w:t>
          </w:r>
          <w:r>
            <w:rPr>
              <w:rFonts w:eastAsia="Calibri"/>
              <w:b/>
              <w:bCs/>
              <w:sz w:val="28"/>
              <w:szCs w:val="28"/>
            </w:rPr>
            <w:t>ontinuum of Care Program Competition</w:t>
          </w:r>
          <w:r w:rsidRPr="00B23E26">
            <w:rPr>
              <w:rFonts w:eastAsia="Calibri"/>
              <w:b/>
              <w:bCs/>
              <w:sz w:val="28"/>
              <w:szCs w:val="28"/>
            </w:rPr>
            <w:t xml:space="preserve"> D</w:t>
          </w:r>
          <w:r>
            <w:rPr>
              <w:rFonts w:eastAsia="Calibri"/>
              <w:b/>
              <w:bCs/>
              <w:sz w:val="28"/>
              <w:szCs w:val="28"/>
            </w:rPr>
            <w:t>ebriefing</w:t>
          </w:r>
        </w:p>
      </w:tc>
    </w:tr>
  </w:tbl>
  <w:p w:rsidR="00AC6776" w:rsidRDefault="00AC6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1D4"/>
    <w:multiLevelType w:val="hybridMultilevel"/>
    <w:tmpl w:val="BDA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E"/>
    <w:rsid w:val="003A477C"/>
    <w:rsid w:val="003D6797"/>
    <w:rsid w:val="00835E1E"/>
    <w:rsid w:val="00AC6776"/>
    <w:rsid w:val="00DB4A5A"/>
    <w:rsid w:val="00F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E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E1E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8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E1E"/>
    <w:pPr>
      <w:ind w:left="720"/>
      <w:contextualSpacing/>
    </w:pPr>
  </w:style>
  <w:style w:type="table" w:styleId="TableGrid">
    <w:name w:val="Table Grid"/>
    <w:basedOn w:val="TableNormal"/>
    <w:uiPriority w:val="39"/>
    <w:rsid w:val="008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E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E1E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8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E1E"/>
    <w:pPr>
      <w:ind w:left="720"/>
      <w:contextualSpacing/>
    </w:pPr>
  </w:style>
  <w:style w:type="table" w:styleId="TableGrid">
    <w:name w:val="Table Grid"/>
    <w:basedOn w:val="TableNormal"/>
    <w:uiPriority w:val="39"/>
    <w:rsid w:val="008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Tolbert, John E</dc:creator>
  <cp:lastModifiedBy>Dina</cp:lastModifiedBy>
  <cp:revision>2</cp:revision>
  <dcterms:created xsi:type="dcterms:W3CDTF">2017-02-08T22:22:00Z</dcterms:created>
  <dcterms:modified xsi:type="dcterms:W3CDTF">2017-02-08T22:22:00Z</dcterms:modified>
</cp:coreProperties>
</file>